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713D" w14:textId="3AA9343C" w:rsidR="00E203C2" w:rsidRDefault="00E203C2" w:rsidP="00E203C2">
      <w:r>
        <w:rPr>
          <w:noProof/>
          <w:lang w:eastAsia="en-GB" w:bidi="ar-SA"/>
        </w:rPr>
        <w:drawing>
          <wp:inline distT="0" distB="0" distL="0" distR="0" wp14:anchorId="68564FBA" wp14:editId="0845BA2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639A1E67" w14:textId="77777777" w:rsidR="00E203C2" w:rsidRDefault="00E203C2" w:rsidP="00E203C2"/>
    <w:p w14:paraId="2A8D4F2E" w14:textId="347582BE" w:rsidR="00CA641D" w:rsidRPr="00F0649E" w:rsidRDefault="00F0649E" w:rsidP="00CA641D">
      <w:pPr>
        <w:rPr>
          <w:b/>
          <w:sz w:val="28"/>
          <w:szCs w:val="28"/>
        </w:rPr>
      </w:pPr>
      <w:r w:rsidRPr="00F0649E">
        <w:rPr>
          <w:b/>
          <w:sz w:val="28"/>
          <w:szCs w:val="28"/>
        </w:rPr>
        <w:t>22 February 2018</w:t>
      </w:r>
    </w:p>
    <w:p w14:paraId="0A23518F" w14:textId="04B340AB" w:rsidR="00CA641D" w:rsidRPr="00F0649E" w:rsidRDefault="00F0649E" w:rsidP="00CA641D">
      <w:pPr>
        <w:rPr>
          <w:b/>
          <w:sz w:val="28"/>
          <w:szCs w:val="28"/>
        </w:rPr>
      </w:pPr>
      <w:r w:rsidRPr="00F0649E">
        <w:rPr>
          <w:b/>
          <w:sz w:val="28"/>
          <w:szCs w:val="28"/>
        </w:rPr>
        <w:t>[39-18</w:t>
      </w:r>
      <w:r w:rsidR="00CA641D" w:rsidRPr="00F0649E">
        <w:rPr>
          <w:b/>
          <w:sz w:val="28"/>
          <w:szCs w:val="28"/>
        </w:rPr>
        <w:t>]</w:t>
      </w:r>
    </w:p>
    <w:p w14:paraId="07FC971F" w14:textId="77777777" w:rsidR="0057615C" w:rsidRPr="00F0649E" w:rsidRDefault="0057615C" w:rsidP="00690206">
      <w:pPr>
        <w:pStyle w:val="FSTitle"/>
        <w:rPr>
          <w:b/>
          <w:sz w:val="22"/>
        </w:rPr>
      </w:pPr>
    </w:p>
    <w:p w14:paraId="003E2E46" w14:textId="7B777C36" w:rsidR="00092CDA" w:rsidRPr="001259DD" w:rsidRDefault="00092CDA" w:rsidP="00690206">
      <w:pPr>
        <w:pStyle w:val="FSTitle"/>
        <w:rPr>
          <w:b/>
        </w:rPr>
      </w:pPr>
      <w:r w:rsidRPr="001259DD">
        <w:rPr>
          <w:b/>
        </w:rPr>
        <w:t>S</w:t>
      </w:r>
      <w:r w:rsidR="00B12F1E" w:rsidRPr="001259DD">
        <w:rPr>
          <w:b/>
        </w:rPr>
        <w:t>upporting document</w:t>
      </w:r>
      <w:r w:rsidRPr="001259DD">
        <w:rPr>
          <w:b/>
        </w:rPr>
        <w:t xml:space="preserve"> </w:t>
      </w:r>
      <w:r w:rsidR="00C94B26">
        <w:rPr>
          <w:b/>
        </w:rPr>
        <w:t>1</w:t>
      </w:r>
    </w:p>
    <w:p w14:paraId="6C81D4C5" w14:textId="77777777" w:rsidR="00BA24E2" w:rsidRPr="001259DD" w:rsidRDefault="00BA24E2" w:rsidP="00E203C2"/>
    <w:p w14:paraId="4BCC8340" w14:textId="549A402C" w:rsidR="00D056F1" w:rsidRPr="001259DD" w:rsidRDefault="00320839" w:rsidP="00690206">
      <w:pPr>
        <w:pStyle w:val="FSTitle"/>
      </w:pPr>
      <w:r w:rsidRPr="001259DD">
        <w:t xml:space="preserve">Risk </w:t>
      </w:r>
      <w:r w:rsidR="001259DD" w:rsidRPr="001259DD">
        <w:t xml:space="preserve">and technical </w:t>
      </w:r>
      <w:r w:rsidRPr="001259DD">
        <w:t>assessment</w:t>
      </w:r>
      <w:r w:rsidR="006B5EBE" w:rsidRPr="001259DD">
        <w:t xml:space="preserve"> – </w:t>
      </w:r>
      <w:r w:rsidR="00D056F1" w:rsidRPr="001259DD">
        <w:t>A</w:t>
      </w:r>
      <w:r w:rsidR="00E755B9" w:rsidRPr="001259DD">
        <w:t>pplication</w:t>
      </w:r>
      <w:r w:rsidR="00D056F1" w:rsidRPr="001259DD">
        <w:t xml:space="preserve"> A</w:t>
      </w:r>
      <w:r w:rsidR="00E755B9" w:rsidRPr="001259DD">
        <w:t>1136</w:t>
      </w:r>
      <w:r w:rsidR="00E755B9" w:rsidRPr="001259DD" w:rsidDel="00E755B9">
        <w:t xml:space="preserve"> </w:t>
      </w:r>
    </w:p>
    <w:p w14:paraId="7FD415DF" w14:textId="77777777" w:rsidR="00E203C2" w:rsidRPr="001259DD" w:rsidRDefault="00E203C2" w:rsidP="00690206"/>
    <w:p w14:paraId="0658143C" w14:textId="3580D883" w:rsidR="00D056F1" w:rsidRPr="001259DD" w:rsidRDefault="00E755B9" w:rsidP="00690206">
      <w:pPr>
        <w:pStyle w:val="FSTitle"/>
      </w:pPr>
      <w:r w:rsidRPr="001259DD">
        <w:t>Protein Glutaminase as a Processing Aid (Enzyme)</w:t>
      </w:r>
    </w:p>
    <w:p w14:paraId="7C0CFDF6" w14:textId="77777777" w:rsidR="00E203C2" w:rsidRPr="00B37BF0" w:rsidRDefault="00E203C2" w:rsidP="00E203C2">
      <w:pPr>
        <w:pBdr>
          <w:bottom w:val="single" w:sz="12" w:space="1" w:color="auto"/>
        </w:pBdr>
        <w:spacing w:line="280" w:lineRule="exact"/>
        <w:rPr>
          <w:rFonts w:cs="Arial"/>
          <w:bCs/>
        </w:rPr>
      </w:pPr>
    </w:p>
    <w:p w14:paraId="1977C11A" w14:textId="77777777" w:rsidR="00E203C2" w:rsidRPr="00B37BF0" w:rsidRDefault="00E203C2" w:rsidP="00E203C2"/>
    <w:p w14:paraId="2237CA4E" w14:textId="77777777" w:rsidR="00092CDA" w:rsidRPr="00092CDA" w:rsidRDefault="00092CDA" w:rsidP="00352CF2">
      <w:pPr>
        <w:pStyle w:val="Heading1"/>
        <w:spacing w:before="0"/>
      </w:pPr>
      <w:bookmarkStart w:id="1" w:name="_Toc286391001"/>
      <w:bookmarkStart w:id="2" w:name="_Toc300933414"/>
      <w:bookmarkStart w:id="3" w:name="_Toc485893666"/>
      <w:bookmarkStart w:id="4" w:name="_Toc492456016"/>
      <w:r w:rsidRPr="00092CDA">
        <w:t xml:space="preserve">Executive </w:t>
      </w:r>
      <w:r w:rsidR="00B12F1E">
        <w:t>s</w:t>
      </w:r>
      <w:r w:rsidRPr="00092CDA">
        <w:t>ummary</w:t>
      </w:r>
      <w:bookmarkEnd w:id="1"/>
      <w:bookmarkEnd w:id="2"/>
      <w:bookmarkEnd w:id="3"/>
      <w:bookmarkEnd w:id="4"/>
    </w:p>
    <w:p w14:paraId="3DB291FB" w14:textId="77777777" w:rsidR="006A6427" w:rsidRPr="006A6427" w:rsidRDefault="006A6427" w:rsidP="006A6427">
      <w:pPr>
        <w:rPr>
          <w:lang w:bidi="ar-SA"/>
        </w:rPr>
      </w:pPr>
      <w:r w:rsidRPr="006A6427">
        <w:rPr>
          <w:lang w:bidi="ar-SA"/>
        </w:rPr>
        <w:t xml:space="preserve">Amano Enzyme Inc. (Amano) has submitted an Application seeking permission to use an enzyme, protein glutaminase sourced from </w:t>
      </w:r>
      <w:r w:rsidRPr="006A6427">
        <w:rPr>
          <w:i/>
          <w:lang w:bidi="ar-SA"/>
        </w:rPr>
        <w:t xml:space="preserve">Chryseobacterium proteolyticum, </w:t>
      </w:r>
      <w:r w:rsidRPr="006A6427">
        <w:rPr>
          <w:lang w:bidi="ar-SA"/>
        </w:rPr>
        <w:t>as a processing aid in the manufacture of certain food products.</w:t>
      </w:r>
    </w:p>
    <w:p w14:paraId="06970D9F" w14:textId="77777777" w:rsidR="006A6427" w:rsidRPr="006A6427" w:rsidRDefault="006A6427" w:rsidP="006A6427">
      <w:pPr>
        <w:rPr>
          <w:lang w:bidi="ar-SA"/>
        </w:rPr>
      </w:pPr>
    </w:p>
    <w:p w14:paraId="6BF25285" w14:textId="77777777" w:rsidR="006A6427" w:rsidRPr="006A6427" w:rsidRDefault="006A6427" w:rsidP="006A6427">
      <w:pPr>
        <w:rPr>
          <w:lang w:bidi="ar-SA"/>
        </w:rPr>
      </w:pPr>
      <w:r w:rsidRPr="006A6427">
        <w:rPr>
          <w:lang w:bidi="ar-SA"/>
        </w:rPr>
        <w:t xml:space="preserve">Protein glutaminase enhances protein solubility in various applications such as baking, pasta/noodle making, milk, dairy meat, fish, grain processing, yeast products and egg based products. The technological purpose is to improve emulsification, foam stabilisation and gelling in these proteinaceous foods. It also decreases flavour fade or ‘off flavour’ problems associated with flavour-protein interactions. </w:t>
      </w:r>
    </w:p>
    <w:p w14:paraId="4A549647" w14:textId="77777777" w:rsidR="006A6427" w:rsidRPr="006A6427" w:rsidRDefault="006A6427" w:rsidP="006A6427">
      <w:pPr>
        <w:rPr>
          <w:lang w:bidi="ar-SA"/>
        </w:rPr>
      </w:pPr>
    </w:p>
    <w:p w14:paraId="2A15F33E" w14:textId="77777777" w:rsidR="006A6427" w:rsidRPr="006A6427" w:rsidRDefault="006A6427" w:rsidP="006A6427">
      <w:pPr>
        <w:rPr>
          <w:lang w:bidi="ar-SA"/>
        </w:rPr>
      </w:pPr>
      <w:r w:rsidRPr="006A6427">
        <w:rPr>
          <w:lang w:bidi="ar-SA"/>
        </w:rPr>
        <w:t xml:space="preserve">Enzymes used in the production and manufacture of food are considered processing aids and are regulated by Schedule 18 of the </w:t>
      </w:r>
      <w:r w:rsidRPr="006A6427">
        <w:rPr>
          <w:i/>
          <w:lang w:bidi="ar-SA"/>
        </w:rPr>
        <w:t>Australia New Zealand Food Standards Code</w:t>
      </w:r>
      <w:r w:rsidRPr="006A6427">
        <w:rPr>
          <w:lang w:bidi="ar-SA"/>
        </w:rPr>
        <w:t xml:space="preserve"> (the Code). Permitted enzymes of microbial origin are listed in the Table to subsection S18—4(5) of the Code.</w:t>
      </w:r>
    </w:p>
    <w:p w14:paraId="27215602" w14:textId="77777777" w:rsidR="006A6427" w:rsidRPr="006A6427" w:rsidRDefault="006A6427" w:rsidP="006A6427">
      <w:pPr>
        <w:rPr>
          <w:lang w:bidi="ar-SA"/>
        </w:rPr>
      </w:pPr>
    </w:p>
    <w:p w14:paraId="44ED6551" w14:textId="69F4BAEC" w:rsidR="006A6427" w:rsidRPr="006A6427" w:rsidRDefault="006A6427" w:rsidP="006A6427">
      <w:pPr>
        <w:rPr>
          <w:lang w:bidi="ar-SA"/>
        </w:rPr>
      </w:pPr>
      <w:r w:rsidRPr="006A6427">
        <w:rPr>
          <w:lang w:bidi="ar-SA"/>
        </w:rPr>
        <w:t xml:space="preserve">The safety data submitted by Amano in support of the Application was only for protein glutaminase sourced from one particular </w:t>
      </w:r>
      <w:r w:rsidR="001520DE" w:rsidRPr="001520DE">
        <w:rPr>
          <w:lang w:bidi="ar-SA"/>
        </w:rPr>
        <w:t xml:space="preserve">non-genetically modified </w:t>
      </w:r>
      <w:r w:rsidRPr="006A6427">
        <w:rPr>
          <w:lang w:bidi="ar-SA"/>
        </w:rPr>
        <w:t xml:space="preserve">strain of </w:t>
      </w:r>
      <w:r w:rsidRPr="006A6427">
        <w:rPr>
          <w:i/>
          <w:lang w:bidi="ar-SA"/>
        </w:rPr>
        <w:t xml:space="preserve">Chryseobacterium proteolyticum </w:t>
      </w:r>
      <w:r w:rsidRPr="006A6427">
        <w:rPr>
          <w:lang w:bidi="ar-SA"/>
        </w:rPr>
        <w:t>(</w:t>
      </w:r>
      <w:r w:rsidR="00945537" w:rsidRPr="006A6427">
        <w:rPr>
          <w:lang w:bidi="ar-SA"/>
        </w:rPr>
        <w:t>i.e.</w:t>
      </w:r>
      <w:r w:rsidRPr="006A6427">
        <w:rPr>
          <w:lang w:bidi="ar-SA"/>
        </w:rPr>
        <w:t xml:space="preserve"> </w:t>
      </w:r>
      <w:r w:rsidRPr="006A6427">
        <w:rPr>
          <w:i/>
          <w:lang w:bidi="ar-SA"/>
        </w:rPr>
        <w:t>Chryseobacterium proteolyticum</w:t>
      </w:r>
      <w:r w:rsidRPr="006A6427">
        <w:rPr>
          <w:lang w:bidi="ar-SA"/>
        </w:rPr>
        <w:t xml:space="preserve"> strain AE-PG). FSANZ therefore only assessed protein glutaminase sourced from that particular strain</w:t>
      </w:r>
      <w:r w:rsidRPr="006A6427">
        <w:rPr>
          <w:i/>
          <w:lang w:bidi="ar-SA"/>
        </w:rPr>
        <w:t>.</w:t>
      </w:r>
    </w:p>
    <w:p w14:paraId="62549F0D" w14:textId="77777777" w:rsidR="006A6427" w:rsidRPr="006A6427" w:rsidRDefault="006A6427" w:rsidP="006A6427">
      <w:pPr>
        <w:rPr>
          <w:lang w:bidi="ar-SA"/>
        </w:rPr>
      </w:pPr>
    </w:p>
    <w:p w14:paraId="6366B2A0" w14:textId="2A92FFBB" w:rsidR="006A6427" w:rsidRPr="006A6427" w:rsidRDefault="00EF537E" w:rsidP="006A6427">
      <w:pPr>
        <w:rPr>
          <w:lang w:bidi="ar-SA"/>
        </w:rPr>
      </w:pPr>
      <w:r>
        <w:rPr>
          <w:lang w:bidi="ar-SA"/>
        </w:rPr>
        <w:t>T</w:t>
      </w:r>
      <w:r w:rsidR="006A6427" w:rsidRPr="006A6427">
        <w:rPr>
          <w:lang w:bidi="ar-SA"/>
        </w:rPr>
        <w:t xml:space="preserve">here are no public health and safety issues associated with the use of protein glutaminase sourced from </w:t>
      </w:r>
      <w:r w:rsidR="006A6427" w:rsidRPr="006A6427">
        <w:rPr>
          <w:i/>
          <w:lang w:bidi="ar-SA"/>
        </w:rPr>
        <w:t>Chryseobacterium proteolyticum</w:t>
      </w:r>
      <w:r w:rsidR="006A6427" w:rsidRPr="006A6427">
        <w:rPr>
          <w:lang w:bidi="ar-SA"/>
        </w:rPr>
        <w:t xml:space="preserve"> strain AE-PG</w:t>
      </w:r>
      <w:r w:rsidRPr="00EF537E">
        <w:rPr>
          <w:lang w:bidi="ar-SA"/>
        </w:rPr>
        <w:t xml:space="preserve"> </w:t>
      </w:r>
      <w:r w:rsidRPr="006A6427">
        <w:rPr>
          <w:lang w:bidi="ar-SA"/>
        </w:rPr>
        <w:t>as a food processing aid</w:t>
      </w:r>
      <w:r w:rsidR="006A6427" w:rsidRPr="006A6427">
        <w:rPr>
          <w:lang w:bidi="ar-SA"/>
        </w:rPr>
        <w:t>.</w:t>
      </w:r>
      <w:r>
        <w:rPr>
          <w:lang w:bidi="ar-SA"/>
        </w:rPr>
        <w:t xml:space="preserve"> Protein glutaminase </w:t>
      </w:r>
      <w:r>
        <w:rPr>
          <w:lang w:eastAsia="en-AU" w:bidi="ar-SA"/>
        </w:rPr>
        <w:t xml:space="preserve">was not genotoxic </w:t>
      </w:r>
      <w:r w:rsidRPr="006100F4">
        <w:rPr>
          <w:i/>
          <w:lang w:eastAsia="en-AU" w:bidi="ar-SA"/>
        </w:rPr>
        <w:t>in vitro</w:t>
      </w:r>
      <w:r>
        <w:rPr>
          <w:lang w:eastAsia="en-AU" w:bidi="ar-SA"/>
        </w:rPr>
        <w:t xml:space="preserve"> and did not cause adverse effects in a subchronic toxicity study in rats. </w:t>
      </w:r>
      <w:r w:rsidRPr="006100F4">
        <w:rPr>
          <w:lang w:eastAsia="en-AU" w:bidi="ar-SA"/>
        </w:rPr>
        <w:t>In the absence of any identifiable hazard an Acceptable Daily Intake ‘not specified’ is appropriate</w:t>
      </w:r>
      <w:r>
        <w:rPr>
          <w:lang w:eastAsia="en-AU" w:bidi="ar-SA"/>
        </w:rPr>
        <w:t>.</w:t>
      </w:r>
      <w:r w:rsidR="00F6581D" w:rsidRPr="00F6581D">
        <w:t xml:space="preserve"> </w:t>
      </w:r>
      <w:r w:rsidR="00F6581D" w:rsidRPr="00F6581D">
        <w:rPr>
          <w:lang w:eastAsia="en-AU" w:bidi="ar-SA"/>
        </w:rPr>
        <w:t>The enzyme does not have the characteristics of a potential food allergen.</w:t>
      </w:r>
    </w:p>
    <w:p w14:paraId="75DF9C75" w14:textId="77777777" w:rsidR="006A6427" w:rsidRPr="006A6427" w:rsidRDefault="006A6427" w:rsidP="006A6427">
      <w:pPr>
        <w:rPr>
          <w:lang w:bidi="ar-SA"/>
        </w:rPr>
      </w:pPr>
    </w:p>
    <w:p w14:paraId="1E8229C5" w14:textId="529B9843" w:rsidR="006A6427" w:rsidRPr="006A6427" w:rsidRDefault="006A6427" w:rsidP="006A6427">
      <w:pPr>
        <w:rPr>
          <w:lang w:bidi="ar-SA"/>
        </w:rPr>
      </w:pPr>
      <w:r w:rsidRPr="006A6427">
        <w:rPr>
          <w:lang w:bidi="ar-SA"/>
        </w:rPr>
        <w:t>FSANZ is satisfied that that enzyme’s use as a processing aid in the manner specified in the Application is technologically justified. FSANZ also concludes that, as the enzyme performs its technological purpose during processing and manufacture of food only, it is appropriately categorised as a processing aid rather than a food additive. The proposed maximum permitted level is GMP</w:t>
      </w:r>
      <w:r w:rsidR="00C5495C">
        <w:rPr>
          <w:lang w:bidi="ar-SA"/>
        </w:rPr>
        <w:t xml:space="preserve"> (Good Manufacturing Practice)</w:t>
      </w:r>
      <w:r w:rsidRPr="006A6427">
        <w:rPr>
          <w:lang w:bidi="ar-SA"/>
        </w:rPr>
        <w:t>.</w:t>
      </w:r>
    </w:p>
    <w:p w14:paraId="02892863" w14:textId="77777777" w:rsidR="006A6427" w:rsidRPr="006A6427" w:rsidRDefault="006A6427" w:rsidP="006A6427">
      <w:pPr>
        <w:rPr>
          <w:lang w:bidi="ar-SA"/>
        </w:rPr>
      </w:pPr>
    </w:p>
    <w:p w14:paraId="21D5576D" w14:textId="491FE540" w:rsidR="006A6427" w:rsidRPr="006A6427" w:rsidRDefault="006A6427" w:rsidP="006A6427">
      <w:pPr>
        <w:rPr>
          <w:lang w:bidi="ar-SA"/>
        </w:rPr>
      </w:pPr>
      <w:r w:rsidRPr="006A6427">
        <w:rPr>
          <w:lang w:bidi="ar-SA"/>
        </w:rPr>
        <w:t>The enzyme also complies with the internationally accepted Joint Expert Committee on Food Additives (JECFA) specifications for chemical and microbiological purity.</w:t>
      </w:r>
    </w:p>
    <w:p w14:paraId="09FD605E" w14:textId="2857E28D" w:rsidR="00092CDA" w:rsidRPr="00016C48" w:rsidRDefault="00092CDA" w:rsidP="00016C48">
      <w:pPr>
        <w:widowControl/>
        <w:rPr>
          <w:lang w:eastAsia="en-AU"/>
        </w:rPr>
        <w:sectPr w:rsidR="00092CDA" w:rsidRPr="00016C48"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58669CB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sdt>
      <w:sdtPr>
        <w:rPr>
          <w:b w:val="0"/>
          <w:bCs w:val="0"/>
          <w:sz w:val="22"/>
          <w:szCs w:val="24"/>
          <w:lang w:bidi="en-US"/>
        </w:rPr>
        <w:id w:val="584583816"/>
        <w:docPartObj>
          <w:docPartGallery w:val="Table of Contents"/>
          <w:docPartUnique/>
        </w:docPartObj>
      </w:sdtPr>
      <w:sdtEndPr>
        <w:rPr>
          <w:noProof/>
        </w:rPr>
      </w:sdtEndPr>
      <w:sdtContent>
        <w:p w14:paraId="5CE9509F" w14:textId="1AB0F324" w:rsidR="006A726E" w:rsidRDefault="006A726E">
          <w:pPr>
            <w:pStyle w:val="TOCHeading"/>
          </w:pPr>
          <w:r>
            <w:t>Contents</w:t>
          </w:r>
        </w:p>
        <w:p w14:paraId="5CB40FDE" w14:textId="5025A505" w:rsidR="00945537" w:rsidRDefault="006A726E">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492456016" w:history="1">
            <w:r w:rsidR="00945537" w:rsidRPr="00E76589">
              <w:rPr>
                <w:rStyle w:val="Hyperlink"/>
                <w:noProof/>
              </w:rPr>
              <w:t>Executive summary</w:t>
            </w:r>
            <w:r w:rsidR="00945537">
              <w:rPr>
                <w:noProof/>
                <w:webHidden/>
              </w:rPr>
              <w:tab/>
            </w:r>
            <w:r w:rsidR="00945537">
              <w:rPr>
                <w:noProof/>
                <w:webHidden/>
              </w:rPr>
              <w:fldChar w:fldCharType="begin"/>
            </w:r>
            <w:r w:rsidR="00945537">
              <w:rPr>
                <w:noProof/>
                <w:webHidden/>
              </w:rPr>
              <w:instrText xml:space="preserve"> PAGEREF _Toc492456016 \h </w:instrText>
            </w:r>
            <w:r w:rsidR="00945537">
              <w:rPr>
                <w:noProof/>
                <w:webHidden/>
              </w:rPr>
            </w:r>
            <w:r w:rsidR="00945537">
              <w:rPr>
                <w:noProof/>
                <w:webHidden/>
              </w:rPr>
              <w:fldChar w:fldCharType="separate"/>
            </w:r>
            <w:r w:rsidR="00905784">
              <w:rPr>
                <w:noProof/>
                <w:webHidden/>
              </w:rPr>
              <w:t>i</w:t>
            </w:r>
            <w:r w:rsidR="00945537">
              <w:rPr>
                <w:noProof/>
                <w:webHidden/>
              </w:rPr>
              <w:fldChar w:fldCharType="end"/>
            </w:r>
          </w:hyperlink>
        </w:p>
        <w:p w14:paraId="02D1B0F6" w14:textId="4A590FDA" w:rsidR="00945537" w:rsidRDefault="00905784">
          <w:pPr>
            <w:pStyle w:val="TOC1"/>
            <w:tabs>
              <w:tab w:val="right" w:leader="dot" w:pos="9060"/>
            </w:tabs>
            <w:rPr>
              <w:rFonts w:eastAsiaTheme="minorEastAsia" w:cstheme="minorBidi"/>
              <w:b w:val="0"/>
              <w:bCs w:val="0"/>
              <w:caps w:val="0"/>
              <w:noProof/>
              <w:sz w:val="22"/>
              <w:szCs w:val="22"/>
              <w:lang w:val="en-NZ" w:eastAsia="en-NZ" w:bidi="ar-SA"/>
            </w:rPr>
          </w:pPr>
          <w:hyperlink w:anchor="_Toc492456017" w:history="1">
            <w:r w:rsidR="00945537" w:rsidRPr="00E76589">
              <w:rPr>
                <w:rStyle w:val="Hyperlink"/>
                <w:noProof/>
              </w:rPr>
              <w:t>Protein Glutaminase</w:t>
            </w:r>
            <w:r w:rsidR="00945537">
              <w:rPr>
                <w:noProof/>
                <w:webHidden/>
              </w:rPr>
              <w:tab/>
            </w:r>
            <w:r w:rsidR="00945537">
              <w:rPr>
                <w:noProof/>
                <w:webHidden/>
              </w:rPr>
              <w:fldChar w:fldCharType="begin"/>
            </w:r>
            <w:r w:rsidR="00945537">
              <w:rPr>
                <w:noProof/>
                <w:webHidden/>
              </w:rPr>
              <w:instrText xml:space="preserve"> PAGEREF _Toc492456017 \h </w:instrText>
            </w:r>
            <w:r w:rsidR="00945537">
              <w:rPr>
                <w:noProof/>
                <w:webHidden/>
              </w:rPr>
            </w:r>
            <w:r w:rsidR="00945537">
              <w:rPr>
                <w:noProof/>
                <w:webHidden/>
              </w:rPr>
              <w:fldChar w:fldCharType="separate"/>
            </w:r>
            <w:r>
              <w:rPr>
                <w:noProof/>
                <w:webHidden/>
              </w:rPr>
              <w:t>2</w:t>
            </w:r>
            <w:r w:rsidR="00945537">
              <w:rPr>
                <w:noProof/>
                <w:webHidden/>
              </w:rPr>
              <w:fldChar w:fldCharType="end"/>
            </w:r>
          </w:hyperlink>
        </w:p>
        <w:p w14:paraId="417E83C4" w14:textId="0B361264" w:rsidR="00945537" w:rsidRDefault="00905784">
          <w:pPr>
            <w:pStyle w:val="TOC2"/>
            <w:tabs>
              <w:tab w:val="left" w:pos="660"/>
              <w:tab w:val="right" w:leader="dot" w:pos="9060"/>
            </w:tabs>
            <w:rPr>
              <w:rFonts w:eastAsiaTheme="minorEastAsia" w:cstheme="minorBidi"/>
              <w:smallCaps w:val="0"/>
              <w:noProof/>
              <w:sz w:val="22"/>
              <w:szCs w:val="22"/>
              <w:lang w:val="en-NZ" w:eastAsia="en-NZ" w:bidi="ar-SA"/>
            </w:rPr>
          </w:pPr>
          <w:hyperlink w:anchor="_Toc492456018" w:history="1">
            <w:r w:rsidR="00945537" w:rsidRPr="00E76589">
              <w:rPr>
                <w:rStyle w:val="Hyperlink"/>
                <w:rFonts w:cs="Arial"/>
                <w:b/>
                <w:bCs/>
                <w:noProof/>
              </w:rPr>
              <w:t>1</w:t>
            </w:r>
            <w:r w:rsidR="00945537">
              <w:rPr>
                <w:rFonts w:eastAsiaTheme="minorEastAsia" w:cstheme="minorBidi"/>
                <w:smallCaps w:val="0"/>
                <w:noProof/>
                <w:sz w:val="22"/>
                <w:szCs w:val="22"/>
                <w:lang w:val="en-NZ" w:eastAsia="en-NZ" w:bidi="ar-SA"/>
              </w:rPr>
              <w:tab/>
            </w:r>
            <w:r w:rsidR="00945537" w:rsidRPr="00E76589">
              <w:rPr>
                <w:rStyle w:val="Hyperlink"/>
                <w:rFonts w:cs="Arial"/>
                <w:b/>
                <w:bCs/>
                <w:noProof/>
              </w:rPr>
              <w:t>Introduction and description</w:t>
            </w:r>
            <w:r w:rsidR="00945537">
              <w:rPr>
                <w:noProof/>
                <w:webHidden/>
              </w:rPr>
              <w:tab/>
            </w:r>
            <w:r w:rsidR="00945537">
              <w:rPr>
                <w:noProof/>
                <w:webHidden/>
              </w:rPr>
              <w:fldChar w:fldCharType="begin"/>
            </w:r>
            <w:r w:rsidR="00945537">
              <w:rPr>
                <w:noProof/>
                <w:webHidden/>
              </w:rPr>
              <w:instrText xml:space="preserve"> PAGEREF _Toc492456018 \h </w:instrText>
            </w:r>
            <w:r w:rsidR="00945537">
              <w:rPr>
                <w:noProof/>
                <w:webHidden/>
              </w:rPr>
            </w:r>
            <w:r w:rsidR="00945537">
              <w:rPr>
                <w:noProof/>
                <w:webHidden/>
              </w:rPr>
              <w:fldChar w:fldCharType="separate"/>
            </w:r>
            <w:r>
              <w:rPr>
                <w:noProof/>
                <w:webHidden/>
              </w:rPr>
              <w:t>2</w:t>
            </w:r>
            <w:r w:rsidR="00945537">
              <w:rPr>
                <w:noProof/>
                <w:webHidden/>
              </w:rPr>
              <w:fldChar w:fldCharType="end"/>
            </w:r>
          </w:hyperlink>
        </w:p>
        <w:p w14:paraId="2D91CB1A" w14:textId="3742E1E3"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19" w:history="1">
            <w:r w:rsidR="00945537" w:rsidRPr="00E76589">
              <w:rPr>
                <w:rStyle w:val="Hyperlink"/>
                <w:noProof/>
              </w:rPr>
              <w:t xml:space="preserve">1.1 </w:t>
            </w:r>
            <w:r w:rsidR="00945537">
              <w:rPr>
                <w:rFonts w:eastAsiaTheme="minorEastAsia" w:cstheme="minorBidi"/>
                <w:i w:val="0"/>
                <w:iCs w:val="0"/>
                <w:noProof/>
                <w:sz w:val="22"/>
                <w:szCs w:val="22"/>
                <w:lang w:val="en-NZ" w:eastAsia="en-NZ" w:bidi="ar-SA"/>
              </w:rPr>
              <w:tab/>
            </w:r>
            <w:r w:rsidR="00945537" w:rsidRPr="00E76589">
              <w:rPr>
                <w:rStyle w:val="Hyperlink"/>
                <w:noProof/>
              </w:rPr>
              <w:t>Identity</w:t>
            </w:r>
            <w:r w:rsidR="00945537">
              <w:rPr>
                <w:noProof/>
                <w:webHidden/>
              </w:rPr>
              <w:tab/>
            </w:r>
            <w:r w:rsidR="00945537">
              <w:rPr>
                <w:noProof/>
                <w:webHidden/>
              </w:rPr>
              <w:fldChar w:fldCharType="begin"/>
            </w:r>
            <w:r w:rsidR="00945537">
              <w:rPr>
                <w:noProof/>
                <w:webHidden/>
              </w:rPr>
              <w:instrText xml:space="preserve"> PAGEREF _Toc492456019 \h </w:instrText>
            </w:r>
            <w:r w:rsidR="00945537">
              <w:rPr>
                <w:noProof/>
                <w:webHidden/>
              </w:rPr>
            </w:r>
            <w:r w:rsidR="00945537">
              <w:rPr>
                <w:noProof/>
                <w:webHidden/>
              </w:rPr>
              <w:fldChar w:fldCharType="separate"/>
            </w:r>
            <w:r>
              <w:rPr>
                <w:noProof/>
                <w:webHidden/>
              </w:rPr>
              <w:t>2</w:t>
            </w:r>
            <w:r w:rsidR="00945537">
              <w:rPr>
                <w:noProof/>
                <w:webHidden/>
              </w:rPr>
              <w:fldChar w:fldCharType="end"/>
            </w:r>
          </w:hyperlink>
        </w:p>
        <w:p w14:paraId="4D296735" w14:textId="1296124E" w:rsidR="00945537" w:rsidRDefault="00905784">
          <w:pPr>
            <w:pStyle w:val="TOC2"/>
            <w:tabs>
              <w:tab w:val="left" w:pos="660"/>
              <w:tab w:val="right" w:leader="dot" w:pos="9060"/>
            </w:tabs>
            <w:rPr>
              <w:rFonts w:eastAsiaTheme="minorEastAsia" w:cstheme="minorBidi"/>
              <w:smallCaps w:val="0"/>
              <w:noProof/>
              <w:sz w:val="22"/>
              <w:szCs w:val="22"/>
              <w:lang w:val="en-NZ" w:eastAsia="en-NZ" w:bidi="ar-SA"/>
            </w:rPr>
          </w:pPr>
          <w:hyperlink w:anchor="_Toc492456020" w:history="1">
            <w:r w:rsidR="00945537" w:rsidRPr="00E76589">
              <w:rPr>
                <w:rStyle w:val="Hyperlink"/>
                <w:rFonts w:cs="Arial"/>
                <w:b/>
                <w:bCs/>
                <w:noProof/>
              </w:rPr>
              <w:t>2</w:t>
            </w:r>
            <w:r w:rsidR="00945537">
              <w:rPr>
                <w:rFonts w:eastAsiaTheme="minorEastAsia" w:cstheme="minorBidi"/>
                <w:smallCaps w:val="0"/>
                <w:noProof/>
                <w:sz w:val="22"/>
                <w:szCs w:val="22"/>
                <w:lang w:val="en-NZ" w:eastAsia="en-NZ" w:bidi="ar-SA"/>
              </w:rPr>
              <w:tab/>
            </w:r>
            <w:r w:rsidR="00945537" w:rsidRPr="00E76589">
              <w:rPr>
                <w:rStyle w:val="Hyperlink"/>
                <w:rFonts w:cs="Arial"/>
                <w:b/>
                <w:bCs/>
                <w:noProof/>
              </w:rPr>
              <w:t>Food technology assessment</w:t>
            </w:r>
            <w:r w:rsidR="00945537">
              <w:rPr>
                <w:noProof/>
                <w:webHidden/>
              </w:rPr>
              <w:tab/>
            </w:r>
            <w:r w:rsidR="00945537">
              <w:rPr>
                <w:noProof/>
                <w:webHidden/>
              </w:rPr>
              <w:fldChar w:fldCharType="begin"/>
            </w:r>
            <w:r w:rsidR="00945537">
              <w:rPr>
                <w:noProof/>
                <w:webHidden/>
              </w:rPr>
              <w:instrText xml:space="preserve"> PAGEREF _Toc492456020 \h </w:instrText>
            </w:r>
            <w:r w:rsidR="00945537">
              <w:rPr>
                <w:noProof/>
                <w:webHidden/>
              </w:rPr>
            </w:r>
            <w:r w:rsidR="00945537">
              <w:rPr>
                <w:noProof/>
                <w:webHidden/>
              </w:rPr>
              <w:fldChar w:fldCharType="separate"/>
            </w:r>
            <w:r>
              <w:rPr>
                <w:noProof/>
                <w:webHidden/>
              </w:rPr>
              <w:t>3</w:t>
            </w:r>
            <w:r w:rsidR="00945537">
              <w:rPr>
                <w:noProof/>
                <w:webHidden/>
              </w:rPr>
              <w:fldChar w:fldCharType="end"/>
            </w:r>
          </w:hyperlink>
        </w:p>
        <w:p w14:paraId="48693006" w14:textId="63341218"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1" w:history="1">
            <w:r w:rsidR="00945537" w:rsidRPr="00E76589">
              <w:rPr>
                <w:rStyle w:val="Hyperlink"/>
                <w:noProof/>
              </w:rPr>
              <w:t xml:space="preserve">2.1 </w:t>
            </w:r>
            <w:r w:rsidR="00945537">
              <w:rPr>
                <w:rFonts w:eastAsiaTheme="minorEastAsia" w:cstheme="minorBidi"/>
                <w:i w:val="0"/>
                <w:iCs w:val="0"/>
                <w:noProof/>
                <w:sz w:val="22"/>
                <w:szCs w:val="22"/>
                <w:lang w:val="en-NZ" w:eastAsia="en-NZ" w:bidi="ar-SA"/>
              </w:rPr>
              <w:tab/>
            </w:r>
            <w:r w:rsidR="00945537" w:rsidRPr="00E76589">
              <w:rPr>
                <w:rStyle w:val="Hyperlink"/>
                <w:noProof/>
              </w:rPr>
              <w:t>Technological purpose</w:t>
            </w:r>
            <w:r w:rsidR="00945537">
              <w:rPr>
                <w:noProof/>
                <w:webHidden/>
              </w:rPr>
              <w:tab/>
            </w:r>
            <w:r w:rsidR="00945537">
              <w:rPr>
                <w:noProof/>
                <w:webHidden/>
              </w:rPr>
              <w:fldChar w:fldCharType="begin"/>
            </w:r>
            <w:r w:rsidR="00945537">
              <w:rPr>
                <w:noProof/>
                <w:webHidden/>
              </w:rPr>
              <w:instrText xml:space="preserve"> PAGEREF _Toc492456021 \h </w:instrText>
            </w:r>
            <w:r w:rsidR="00945537">
              <w:rPr>
                <w:noProof/>
                <w:webHidden/>
              </w:rPr>
            </w:r>
            <w:r w:rsidR="00945537">
              <w:rPr>
                <w:noProof/>
                <w:webHidden/>
              </w:rPr>
              <w:fldChar w:fldCharType="separate"/>
            </w:r>
            <w:r>
              <w:rPr>
                <w:noProof/>
                <w:webHidden/>
              </w:rPr>
              <w:t>3</w:t>
            </w:r>
            <w:r w:rsidR="00945537">
              <w:rPr>
                <w:noProof/>
                <w:webHidden/>
              </w:rPr>
              <w:fldChar w:fldCharType="end"/>
            </w:r>
          </w:hyperlink>
        </w:p>
        <w:p w14:paraId="066432DF" w14:textId="275E6727"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2" w:history="1">
            <w:r w:rsidR="00945537" w:rsidRPr="00E76589">
              <w:rPr>
                <w:rStyle w:val="Hyperlink"/>
                <w:noProof/>
              </w:rPr>
              <w:t xml:space="preserve">2.2 </w:t>
            </w:r>
            <w:r w:rsidR="00945537">
              <w:rPr>
                <w:rFonts w:eastAsiaTheme="minorEastAsia" w:cstheme="minorBidi"/>
                <w:i w:val="0"/>
                <w:iCs w:val="0"/>
                <w:noProof/>
                <w:sz w:val="22"/>
                <w:szCs w:val="22"/>
                <w:lang w:val="en-NZ" w:eastAsia="en-NZ" w:bidi="ar-SA"/>
              </w:rPr>
              <w:tab/>
            </w:r>
            <w:r w:rsidR="00945537" w:rsidRPr="00E76589">
              <w:rPr>
                <w:rStyle w:val="Hyperlink"/>
                <w:noProof/>
              </w:rPr>
              <w:t>Usage rates</w:t>
            </w:r>
            <w:r w:rsidR="00945537">
              <w:rPr>
                <w:noProof/>
                <w:webHidden/>
              </w:rPr>
              <w:tab/>
            </w:r>
            <w:r w:rsidR="00945537">
              <w:rPr>
                <w:noProof/>
                <w:webHidden/>
              </w:rPr>
              <w:fldChar w:fldCharType="begin"/>
            </w:r>
            <w:r w:rsidR="00945537">
              <w:rPr>
                <w:noProof/>
                <w:webHidden/>
              </w:rPr>
              <w:instrText xml:space="preserve"> PAGEREF _Toc492456022 \h </w:instrText>
            </w:r>
            <w:r w:rsidR="00945537">
              <w:rPr>
                <w:noProof/>
                <w:webHidden/>
              </w:rPr>
            </w:r>
            <w:r w:rsidR="00945537">
              <w:rPr>
                <w:noProof/>
                <w:webHidden/>
              </w:rPr>
              <w:fldChar w:fldCharType="separate"/>
            </w:r>
            <w:r>
              <w:rPr>
                <w:noProof/>
                <w:webHidden/>
              </w:rPr>
              <w:t>5</w:t>
            </w:r>
            <w:r w:rsidR="00945537">
              <w:rPr>
                <w:noProof/>
                <w:webHidden/>
              </w:rPr>
              <w:fldChar w:fldCharType="end"/>
            </w:r>
          </w:hyperlink>
        </w:p>
        <w:p w14:paraId="4D003C93" w14:textId="29AD3B93"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3" w:history="1">
            <w:r w:rsidR="00945537" w:rsidRPr="00E76589">
              <w:rPr>
                <w:rStyle w:val="Hyperlink"/>
                <w:noProof/>
              </w:rPr>
              <w:t>2.3</w:t>
            </w:r>
            <w:r w:rsidR="00945537">
              <w:rPr>
                <w:rFonts w:eastAsiaTheme="minorEastAsia" w:cstheme="minorBidi"/>
                <w:i w:val="0"/>
                <w:iCs w:val="0"/>
                <w:noProof/>
                <w:sz w:val="22"/>
                <w:szCs w:val="22"/>
                <w:lang w:val="en-NZ" w:eastAsia="en-NZ" w:bidi="ar-SA"/>
              </w:rPr>
              <w:tab/>
            </w:r>
            <w:r w:rsidR="00945537" w:rsidRPr="00E76589">
              <w:rPr>
                <w:rStyle w:val="Hyperlink"/>
                <w:noProof/>
              </w:rPr>
              <w:t>Technological justification</w:t>
            </w:r>
            <w:r w:rsidR="00945537">
              <w:rPr>
                <w:noProof/>
                <w:webHidden/>
              </w:rPr>
              <w:tab/>
            </w:r>
            <w:r w:rsidR="00945537">
              <w:rPr>
                <w:noProof/>
                <w:webHidden/>
              </w:rPr>
              <w:fldChar w:fldCharType="begin"/>
            </w:r>
            <w:r w:rsidR="00945537">
              <w:rPr>
                <w:noProof/>
                <w:webHidden/>
              </w:rPr>
              <w:instrText xml:space="preserve"> PAGEREF _Toc492456023 \h </w:instrText>
            </w:r>
            <w:r w:rsidR="00945537">
              <w:rPr>
                <w:noProof/>
                <w:webHidden/>
              </w:rPr>
            </w:r>
            <w:r w:rsidR="00945537">
              <w:rPr>
                <w:noProof/>
                <w:webHidden/>
              </w:rPr>
              <w:fldChar w:fldCharType="separate"/>
            </w:r>
            <w:r>
              <w:rPr>
                <w:noProof/>
                <w:webHidden/>
              </w:rPr>
              <w:t>5</w:t>
            </w:r>
            <w:r w:rsidR="00945537">
              <w:rPr>
                <w:noProof/>
                <w:webHidden/>
              </w:rPr>
              <w:fldChar w:fldCharType="end"/>
            </w:r>
          </w:hyperlink>
        </w:p>
        <w:p w14:paraId="1D20A9A6" w14:textId="454A3CC0"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4" w:history="1">
            <w:r w:rsidR="00945537" w:rsidRPr="00E76589">
              <w:rPr>
                <w:rStyle w:val="Hyperlink"/>
                <w:noProof/>
              </w:rPr>
              <w:t>2.4</w:t>
            </w:r>
            <w:r w:rsidR="00945537">
              <w:rPr>
                <w:rFonts w:eastAsiaTheme="minorEastAsia" w:cstheme="minorBidi"/>
                <w:i w:val="0"/>
                <w:iCs w:val="0"/>
                <w:noProof/>
                <w:sz w:val="22"/>
                <w:szCs w:val="22"/>
                <w:lang w:val="en-NZ" w:eastAsia="en-NZ" w:bidi="ar-SA"/>
              </w:rPr>
              <w:tab/>
            </w:r>
            <w:r w:rsidR="00945537" w:rsidRPr="00E76589">
              <w:rPr>
                <w:rStyle w:val="Hyperlink"/>
                <w:noProof/>
              </w:rPr>
              <w:t>Manufacturing process</w:t>
            </w:r>
            <w:r w:rsidR="00945537">
              <w:rPr>
                <w:noProof/>
                <w:webHidden/>
              </w:rPr>
              <w:tab/>
            </w:r>
            <w:r w:rsidR="00945537">
              <w:rPr>
                <w:noProof/>
                <w:webHidden/>
              </w:rPr>
              <w:fldChar w:fldCharType="begin"/>
            </w:r>
            <w:r w:rsidR="00945537">
              <w:rPr>
                <w:noProof/>
                <w:webHidden/>
              </w:rPr>
              <w:instrText xml:space="preserve"> PAGEREF _Toc492456024 \h </w:instrText>
            </w:r>
            <w:r w:rsidR="00945537">
              <w:rPr>
                <w:noProof/>
                <w:webHidden/>
              </w:rPr>
            </w:r>
            <w:r w:rsidR="00945537">
              <w:rPr>
                <w:noProof/>
                <w:webHidden/>
              </w:rPr>
              <w:fldChar w:fldCharType="separate"/>
            </w:r>
            <w:r>
              <w:rPr>
                <w:noProof/>
                <w:webHidden/>
              </w:rPr>
              <w:t>6</w:t>
            </w:r>
            <w:r w:rsidR="00945537">
              <w:rPr>
                <w:noProof/>
                <w:webHidden/>
              </w:rPr>
              <w:fldChar w:fldCharType="end"/>
            </w:r>
          </w:hyperlink>
        </w:p>
        <w:p w14:paraId="0918FB68" w14:textId="1EF5E29A"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5" w:history="1">
            <w:r w:rsidR="00945537" w:rsidRPr="00E76589">
              <w:rPr>
                <w:rStyle w:val="Hyperlink"/>
                <w:noProof/>
              </w:rPr>
              <w:t>2.5</w:t>
            </w:r>
            <w:r w:rsidR="00945537">
              <w:rPr>
                <w:rFonts w:eastAsiaTheme="minorEastAsia" w:cstheme="minorBidi"/>
                <w:i w:val="0"/>
                <w:iCs w:val="0"/>
                <w:noProof/>
                <w:sz w:val="22"/>
                <w:szCs w:val="22"/>
                <w:lang w:val="en-NZ" w:eastAsia="en-NZ" w:bidi="ar-SA"/>
              </w:rPr>
              <w:tab/>
            </w:r>
            <w:r w:rsidR="00945537" w:rsidRPr="00E76589">
              <w:rPr>
                <w:rStyle w:val="Hyperlink"/>
                <w:noProof/>
              </w:rPr>
              <w:t>Manufacturing flow chart</w:t>
            </w:r>
            <w:r w:rsidR="00945537">
              <w:rPr>
                <w:noProof/>
                <w:webHidden/>
              </w:rPr>
              <w:tab/>
            </w:r>
            <w:r w:rsidR="00945537">
              <w:rPr>
                <w:noProof/>
                <w:webHidden/>
              </w:rPr>
              <w:fldChar w:fldCharType="begin"/>
            </w:r>
            <w:r w:rsidR="00945537">
              <w:rPr>
                <w:noProof/>
                <w:webHidden/>
              </w:rPr>
              <w:instrText xml:space="preserve"> PAGEREF _Toc492456025 \h </w:instrText>
            </w:r>
            <w:r w:rsidR="00945537">
              <w:rPr>
                <w:noProof/>
                <w:webHidden/>
              </w:rPr>
            </w:r>
            <w:r w:rsidR="00945537">
              <w:rPr>
                <w:noProof/>
                <w:webHidden/>
              </w:rPr>
              <w:fldChar w:fldCharType="separate"/>
            </w:r>
            <w:r>
              <w:rPr>
                <w:noProof/>
                <w:webHidden/>
              </w:rPr>
              <w:t>7</w:t>
            </w:r>
            <w:r w:rsidR="00945537">
              <w:rPr>
                <w:noProof/>
                <w:webHidden/>
              </w:rPr>
              <w:fldChar w:fldCharType="end"/>
            </w:r>
          </w:hyperlink>
        </w:p>
        <w:p w14:paraId="1E717DCE" w14:textId="3C85F2C9"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6" w:history="1">
            <w:r w:rsidR="00945537" w:rsidRPr="00E76589">
              <w:rPr>
                <w:rStyle w:val="Hyperlink"/>
                <w:noProof/>
              </w:rPr>
              <w:t>2.6</w:t>
            </w:r>
            <w:r w:rsidR="00945537">
              <w:rPr>
                <w:rFonts w:eastAsiaTheme="minorEastAsia" w:cstheme="minorBidi"/>
                <w:i w:val="0"/>
                <w:iCs w:val="0"/>
                <w:noProof/>
                <w:sz w:val="22"/>
                <w:szCs w:val="22"/>
                <w:lang w:val="en-NZ" w:eastAsia="en-NZ" w:bidi="ar-SA"/>
              </w:rPr>
              <w:tab/>
            </w:r>
            <w:r w:rsidR="00945537" w:rsidRPr="00E76589">
              <w:rPr>
                <w:rStyle w:val="Hyperlink"/>
                <w:noProof/>
              </w:rPr>
              <w:t>Product specification</w:t>
            </w:r>
            <w:r w:rsidR="00945537">
              <w:rPr>
                <w:noProof/>
                <w:webHidden/>
              </w:rPr>
              <w:tab/>
            </w:r>
            <w:r w:rsidR="00945537">
              <w:rPr>
                <w:noProof/>
                <w:webHidden/>
              </w:rPr>
              <w:fldChar w:fldCharType="begin"/>
            </w:r>
            <w:r w:rsidR="00945537">
              <w:rPr>
                <w:noProof/>
                <w:webHidden/>
              </w:rPr>
              <w:instrText xml:space="preserve"> PAGEREF _Toc492456026 \h </w:instrText>
            </w:r>
            <w:r w:rsidR="00945537">
              <w:rPr>
                <w:noProof/>
                <w:webHidden/>
              </w:rPr>
            </w:r>
            <w:r w:rsidR="00945537">
              <w:rPr>
                <w:noProof/>
                <w:webHidden/>
              </w:rPr>
              <w:fldChar w:fldCharType="separate"/>
            </w:r>
            <w:r>
              <w:rPr>
                <w:noProof/>
                <w:webHidden/>
              </w:rPr>
              <w:t>7</w:t>
            </w:r>
            <w:r w:rsidR="00945537">
              <w:rPr>
                <w:noProof/>
                <w:webHidden/>
              </w:rPr>
              <w:fldChar w:fldCharType="end"/>
            </w:r>
          </w:hyperlink>
        </w:p>
        <w:p w14:paraId="02F40415" w14:textId="4FFEF426"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7" w:history="1">
            <w:r w:rsidR="00945537" w:rsidRPr="00E76589">
              <w:rPr>
                <w:rStyle w:val="Hyperlink"/>
                <w:noProof/>
              </w:rPr>
              <w:t>2.7</w:t>
            </w:r>
            <w:r w:rsidR="00945537">
              <w:rPr>
                <w:rFonts w:eastAsiaTheme="minorEastAsia" w:cstheme="minorBidi"/>
                <w:i w:val="0"/>
                <w:iCs w:val="0"/>
                <w:noProof/>
                <w:sz w:val="22"/>
                <w:szCs w:val="22"/>
                <w:lang w:val="en-NZ" w:eastAsia="en-NZ" w:bidi="ar-SA"/>
              </w:rPr>
              <w:tab/>
            </w:r>
            <w:r w:rsidR="00945537" w:rsidRPr="00E76589">
              <w:rPr>
                <w:rStyle w:val="Hyperlink"/>
                <w:noProof/>
              </w:rPr>
              <w:t>Enzyme pH stability</w:t>
            </w:r>
            <w:r w:rsidR="00945537">
              <w:rPr>
                <w:noProof/>
                <w:webHidden/>
              </w:rPr>
              <w:tab/>
            </w:r>
            <w:r w:rsidR="00945537">
              <w:rPr>
                <w:noProof/>
                <w:webHidden/>
              </w:rPr>
              <w:fldChar w:fldCharType="begin"/>
            </w:r>
            <w:r w:rsidR="00945537">
              <w:rPr>
                <w:noProof/>
                <w:webHidden/>
              </w:rPr>
              <w:instrText xml:space="preserve"> PAGEREF _Toc492456027 \h </w:instrText>
            </w:r>
            <w:r w:rsidR="00945537">
              <w:rPr>
                <w:noProof/>
                <w:webHidden/>
              </w:rPr>
            </w:r>
            <w:r w:rsidR="00945537">
              <w:rPr>
                <w:noProof/>
                <w:webHidden/>
              </w:rPr>
              <w:fldChar w:fldCharType="separate"/>
            </w:r>
            <w:r>
              <w:rPr>
                <w:noProof/>
                <w:webHidden/>
              </w:rPr>
              <w:t>8</w:t>
            </w:r>
            <w:r w:rsidR="00945537">
              <w:rPr>
                <w:noProof/>
                <w:webHidden/>
              </w:rPr>
              <w:fldChar w:fldCharType="end"/>
            </w:r>
          </w:hyperlink>
        </w:p>
        <w:p w14:paraId="664D4E9A" w14:textId="455A2FAF"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8" w:history="1">
            <w:r w:rsidR="00945537" w:rsidRPr="00E76589">
              <w:rPr>
                <w:rStyle w:val="Hyperlink"/>
                <w:noProof/>
              </w:rPr>
              <w:t>2.8</w:t>
            </w:r>
            <w:r w:rsidR="00945537">
              <w:rPr>
                <w:rFonts w:eastAsiaTheme="minorEastAsia" w:cstheme="minorBidi"/>
                <w:i w:val="0"/>
                <w:iCs w:val="0"/>
                <w:noProof/>
                <w:sz w:val="22"/>
                <w:szCs w:val="22"/>
                <w:lang w:val="en-NZ" w:eastAsia="en-NZ" w:bidi="ar-SA"/>
              </w:rPr>
              <w:tab/>
            </w:r>
            <w:r w:rsidR="00945537" w:rsidRPr="00E76589">
              <w:rPr>
                <w:rStyle w:val="Hyperlink"/>
                <w:noProof/>
              </w:rPr>
              <w:t>Enzyme Thermal stability</w:t>
            </w:r>
            <w:r w:rsidR="00945537">
              <w:rPr>
                <w:noProof/>
                <w:webHidden/>
              </w:rPr>
              <w:tab/>
            </w:r>
            <w:r w:rsidR="00945537">
              <w:rPr>
                <w:noProof/>
                <w:webHidden/>
              </w:rPr>
              <w:fldChar w:fldCharType="begin"/>
            </w:r>
            <w:r w:rsidR="00945537">
              <w:rPr>
                <w:noProof/>
                <w:webHidden/>
              </w:rPr>
              <w:instrText xml:space="preserve"> PAGEREF _Toc492456028 \h </w:instrText>
            </w:r>
            <w:r w:rsidR="00945537">
              <w:rPr>
                <w:noProof/>
                <w:webHidden/>
              </w:rPr>
            </w:r>
            <w:r w:rsidR="00945537">
              <w:rPr>
                <w:noProof/>
                <w:webHidden/>
              </w:rPr>
              <w:fldChar w:fldCharType="separate"/>
            </w:r>
            <w:r>
              <w:rPr>
                <w:noProof/>
                <w:webHidden/>
              </w:rPr>
              <w:t>8</w:t>
            </w:r>
            <w:r w:rsidR="00945537">
              <w:rPr>
                <w:noProof/>
                <w:webHidden/>
              </w:rPr>
              <w:fldChar w:fldCharType="end"/>
            </w:r>
          </w:hyperlink>
        </w:p>
        <w:p w14:paraId="3ECD53E6" w14:textId="5F99CE0F"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29" w:history="1">
            <w:r w:rsidR="00945537" w:rsidRPr="00E76589">
              <w:rPr>
                <w:rStyle w:val="Hyperlink"/>
                <w:noProof/>
              </w:rPr>
              <w:t>2.9</w:t>
            </w:r>
            <w:r w:rsidR="00945537">
              <w:rPr>
                <w:rFonts w:eastAsiaTheme="minorEastAsia" w:cstheme="minorBidi"/>
                <w:i w:val="0"/>
                <w:iCs w:val="0"/>
                <w:noProof/>
                <w:sz w:val="22"/>
                <w:szCs w:val="22"/>
                <w:lang w:val="en-NZ" w:eastAsia="en-NZ" w:bidi="ar-SA"/>
              </w:rPr>
              <w:tab/>
            </w:r>
            <w:r w:rsidR="00945537" w:rsidRPr="00E76589">
              <w:rPr>
                <w:rStyle w:val="Hyperlink"/>
                <w:noProof/>
              </w:rPr>
              <w:t>Long term stability</w:t>
            </w:r>
            <w:r w:rsidR="00945537">
              <w:rPr>
                <w:noProof/>
                <w:webHidden/>
              </w:rPr>
              <w:tab/>
            </w:r>
            <w:r w:rsidR="00945537">
              <w:rPr>
                <w:noProof/>
                <w:webHidden/>
              </w:rPr>
              <w:fldChar w:fldCharType="begin"/>
            </w:r>
            <w:r w:rsidR="00945537">
              <w:rPr>
                <w:noProof/>
                <w:webHidden/>
              </w:rPr>
              <w:instrText xml:space="preserve"> PAGEREF _Toc492456029 \h </w:instrText>
            </w:r>
            <w:r w:rsidR="00945537">
              <w:rPr>
                <w:noProof/>
                <w:webHidden/>
              </w:rPr>
            </w:r>
            <w:r w:rsidR="00945537">
              <w:rPr>
                <w:noProof/>
                <w:webHidden/>
              </w:rPr>
              <w:fldChar w:fldCharType="separate"/>
            </w:r>
            <w:r>
              <w:rPr>
                <w:noProof/>
                <w:webHidden/>
              </w:rPr>
              <w:t>9</w:t>
            </w:r>
            <w:r w:rsidR="00945537">
              <w:rPr>
                <w:noProof/>
                <w:webHidden/>
              </w:rPr>
              <w:fldChar w:fldCharType="end"/>
            </w:r>
          </w:hyperlink>
        </w:p>
        <w:p w14:paraId="661862E3" w14:textId="7F16B98A"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0" w:history="1">
            <w:r w:rsidR="00945537" w:rsidRPr="00E76589">
              <w:rPr>
                <w:rStyle w:val="Hyperlink"/>
                <w:noProof/>
              </w:rPr>
              <w:t>2.10</w:t>
            </w:r>
            <w:r w:rsidR="00945537">
              <w:rPr>
                <w:rFonts w:eastAsiaTheme="minorEastAsia" w:cstheme="minorBidi"/>
                <w:i w:val="0"/>
                <w:iCs w:val="0"/>
                <w:noProof/>
                <w:sz w:val="22"/>
                <w:szCs w:val="22"/>
                <w:lang w:val="en-NZ" w:eastAsia="en-NZ" w:bidi="ar-SA"/>
              </w:rPr>
              <w:tab/>
            </w:r>
            <w:r w:rsidR="00945537" w:rsidRPr="00E76589">
              <w:rPr>
                <w:rStyle w:val="Hyperlink"/>
                <w:noProof/>
              </w:rPr>
              <w:t>Food technology conclusion</w:t>
            </w:r>
            <w:r w:rsidR="00945537">
              <w:rPr>
                <w:noProof/>
                <w:webHidden/>
              </w:rPr>
              <w:tab/>
            </w:r>
            <w:r w:rsidR="00945537">
              <w:rPr>
                <w:noProof/>
                <w:webHidden/>
              </w:rPr>
              <w:fldChar w:fldCharType="begin"/>
            </w:r>
            <w:r w:rsidR="00945537">
              <w:rPr>
                <w:noProof/>
                <w:webHidden/>
              </w:rPr>
              <w:instrText xml:space="preserve"> PAGEREF _Toc492456030 \h </w:instrText>
            </w:r>
            <w:r w:rsidR="00945537">
              <w:rPr>
                <w:noProof/>
                <w:webHidden/>
              </w:rPr>
            </w:r>
            <w:r w:rsidR="00945537">
              <w:rPr>
                <w:noProof/>
                <w:webHidden/>
              </w:rPr>
              <w:fldChar w:fldCharType="separate"/>
            </w:r>
            <w:r>
              <w:rPr>
                <w:noProof/>
                <w:webHidden/>
              </w:rPr>
              <w:t>9</w:t>
            </w:r>
            <w:r w:rsidR="00945537">
              <w:rPr>
                <w:noProof/>
                <w:webHidden/>
              </w:rPr>
              <w:fldChar w:fldCharType="end"/>
            </w:r>
          </w:hyperlink>
        </w:p>
        <w:p w14:paraId="5096917B" w14:textId="0B121D60" w:rsidR="00945537" w:rsidRDefault="00905784">
          <w:pPr>
            <w:pStyle w:val="TOC2"/>
            <w:tabs>
              <w:tab w:val="left" w:pos="660"/>
              <w:tab w:val="right" w:leader="dot" w:pos="9060"/>
            </w:tabs>
            <w:rPr>
              <w:rFonts w:eastAsiaTheme="minorEastAsia" w:cstheme="minorBidi"/>
              <w:smallCaps w:val="0"/>
              <w:noProof/>
              <w:sz w:val="22"/>
              <w:szCs w:val="22"/>
              <w:lang w:val="en-NZ" w:eastAsia="en-NZ" w:bidi="ar-SA"/>
            </w:rPr>
          </w:pPr>
          <w:hyperlink w:anchor="_Toc492456031" w:history="1">
            <w:r w:rsidR="00945537" w:rsidRPr="00E76589">
              <w:rPr>
                <w:rStyle w:val="Hyperlink"/>
                <w:rFonts w:cs="Arial"/>
                <w:b/>
                <w:bCs/>
                <w:noProof/>
              </w:rPr>
              <w:t>3</w:t>
            </w:r>
            <w:r w:rsidR="00945537">
              <w:rPr>
                <w:rFonts w:eastAsiaTheme="minorEastAsia" w:cstheme="minorBidi"/>
                <w:smallCaps w:val="0"/>
                <w:noProof/>
                <w:sz w:val="22"/>
                <w:szCs w:val="22"/>
                <w:lang w:val="en-NZ" w:eastAsia="en-NZ" w:bidi="ar-SA"/>
              </w:rPr>
              <w:tab/>
            </w:r>
            <w:r w:rsidR="00945537" w:rsidRPr="00E76589">
              <w:rPr>
                <w:rStyle w:val="Hyperlink"/>
                <w:rFonts w:cs="Arial"/>
                <w:b/>
                <w:bCs/>
                <w:noProof/>
              </w:rPr>
              <w:t>Hazard assessment</w:t>
            </w:r>
            <w:r w:rsidR="00945537">
              <w:rPr>
                <w:noProof/>
                <w:webHidden/>
              </w:rPr>
              <w:tab/>
            </w:r>
            <w:r w:rsidR="00945537">
              <w:rPr>
                <w:noProof/>
                <w:webHidden/>
              </w:rPr>
              <w:fldChar w:fldCharType="begin"/>
            </w:r>
            <w:r w:rsidR="00945537">
              <w:rPr>
                <w:noProof/>
                <w:webHidden/>
              </w:rPr>
              <w:instrText xml:space="preserve"> PAGEREF _Toc492456031 \h </w:instrText>
            </w:r>
            <w:r w:rsidR="00945537">
              <w:rPr>
                <w:noProof/>
                <w:webHidden/>
              </w:rPr>
            </w:r>
            <w:r w:rsidR="00945537">
              <w:rPr>
                <w:noProof/>
                <w:webHidden/>
              </w:rPr>
              <w:fldChar w:fldCharType="separate"/>
            </w:r>
            <w:r>
              <w:rPr>
                <w:noProof/>
                <w:webHidden/>
              </w:rPr>
              <w:t>10</w:t>
            </w:r>
            <w:r w:rsidR="00945537">
              <w:rPr>
                <w:noProof/>
                <w:webHidden/>
              </w:rPr>
              <w:fldChar w:fldCharType="end"/>
            </w:r>
          </w:hyperlink>
        </w:p>
        <w:p w14:paraId="3B57EE8E" w14:textId="2FA890E8"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2" w:history="1">
            <w:r w:rsidR="00945537" w:rsidRPr="00E76589">
              <w:rPr>
                <w:rStyle w:val="Hyperlink"/>
                <w:noProof/>
              </w:rPr>
              <w:t>3.1</w:t>
            </w:r>
            <w:r w:rsidR="00945537">
              <w:rPr>
                <w:rFonts w:eastAsiaTheme="minorEastAsia" w:cstheme="minorBidi"/>
                <w:i w:val="0"/>
                <w:iCs w:val="0"/>
                <w:noProof/>
                <w:sz w:val="22"/>
                <w:szCs w:val="22"/>
                <w:lang w:val="en-NZ" w:eastAsia="en-NZ" w:bidi="ar-SA"/>
              </w:rPr>
              <w:tab/>
            </w:r>
            <w:r w:rsidR="00945537" w:rsidRPr="00E76589">
              <w:rPr>
                <w:rStyle w:val="Hyperlink"/>
                <w:noProof/>
              </w:rPr>
              <w:t>Background</w:t>
            </w:r>
            <w:r w:rsidR="00945537">
              <w:rPr>
                <w:noProof/>
                <w:webHidden/>
              </w:rPr>
              <w:tab/>
            </w:r>
            <w:r w:rsidR="00945537">
              <w:rPr>
                <w:noProof/>
                <w:webHidden/>
              </w:rPr>
              <w:fldChar w:fldCharType="begin"/>
            </w:r>
            <w:r w:rsidR="00945537">
              <w:rPr>
                <w:noProof/>
                <w:webHidden/>
              </w:rPr>
              <w:instrText xml:space="preserve"> PAGEREF _Toc492456032 \h </w:instrText>
            </w:r>
            <w:r w:rsidR="00945537">
              <w:rPr>
                <w:noProof/>
                <w:webHidden/>
              </w:rPr>
            </w:r>
            <w:r w:rsidR="00945537">
              <w:rPr>
                <w:noProof/>
                <w:webHidden/>
              </w:rPr>
              <w:fldChar w:fldCharType="separate"/>
            </w:r>
            <w:r>
              <w:rPr>
                <w:noProof/>
                <w:webHidden/>
              </w:rPr>
              <w:t>10</w:t>
            </w:r>
            <w:r w:rsidR="00945537">
              <w:rPr>
                <w:noProof/>
                <w:webHidden/>
              </w:rPr>
              <w:fldChar w:fldCharType="end"/>
            </w:r>
          </w:hyperlink>
        </w:p>
        <w:p w14:paraId="37679361" w14:textId="5AA04B40"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3" w:history="1">
            <w:r w:rsidR="00945537" w:rsidRPr="00E76589">
              <w:rPr>
                <w:rStyle w:val="Hyperlink"/>
                <w:noProof/>
              </w:rPr>
              <w:t>3.2</w:t>
            </w:r>
            <w:r w:rsidR="00945537">
              <w:rPr>
                <w:rFonts w:eastAsiaTheme="minorEastAsia" w:cstheme="minorBidi"/>
                <w:i w:val="0"/>
                <w:iCs w:val="0"/>
                <w:noProof/>
                <w:sz w:val="22"/>
                <w:szCs w:val="22"/>
                <w:lang w:val="en-NZ" w:eastAsia="en-NZ" w:bidi="ar-SA"/>
              </w:rPr>
              <w:tab/>
            </w:r>
            <w:r w:rsidR="00945537" w:rsidRPr="00E76589">
              <w:rPr>
                <w:rStyle w:val="Hyperlink"/>
                <w:noProof/>
              </w:rPr>
              <w:t>Hazard of the production organism</w:t>
            </w:r>
            <w:r w:rsidR="00945537">
              <w:rPr>
                <w:noProof/>
                <w:webHidden/>
              </w:rPr>
              <w:tab/>
            </w:r>
            <w:r w:rsidR="00945537">
              <w:rPr>
                <w:noProof/>
                <w:webHidden/>
              </w:rPr>
              <w:fldChar w:fldCharType="begin"/>
            </w:r>
            <w:r w:rsidR="00945537">
              <w:rPr>
                <w:noProof/>
                <w:webHidden/>
              </w:rPr>
              <w:instrText xml:space="preserve"> PAGEREF _Toc492456033 \h </w:instrText>
            </w:r>
            <w:r w:rsidR="00945537">
              <w:rPr>
                <w:noProof/>
                <w:webHidden/>
              </w:rPr>
            </w:r>
            <w:r w:rsidR="00945537">
              <w:rPr>
                <w:noProof/>
                <w:webHidden/>
              </w:rPr>
              <w:fldChar w:fldCharType="separate"/>
            </w:r>
            <w:r>
              <w:rPr>
                <w:noProof/>
                <w:webHidden/>
              </w:rPr>
              <w:t>10</w:t>
            </w:r>
            <w:r w:rsidR="00945537">
              <w:rPr>
                <w:noProof/>
                <w:webHidden/>
              </w:rPr>
              <w:fldChar w:fldCharType="end"/>
            </w:r>
          </w:hyperlink>
        </w:p>
        <w:p w14:paraId="1B8DC941" w14:textId="3EA10CB6"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4" w:history="1">
            <w:r w:rsidR="00945537" w:rsidRPr="00E76589">
              <w:rPr>
                <w:rStyle w:val="Hyperlink"/>
                <w:noProof/>
              </w:rPr>
              <w:t>3.3</w:t>
            </w:r>
            <w:r w:rsidR="00945537">
              <w:rPr>
                <w:rFonts w:eastAsiaTheme="minorEastAsia" w:cstheme="minorBidi"/>
                <w:i w:val="0"/>
                <w:iCs w:val="0"/>
                <w:noProof/>
                <w:sz w:val="22"/>
                <w:szCs w:val="22"/>
                <w:lang w:val="en-NZ" w:eastAsia="en-NZ" w:bidi="ar-SA"/>
              </w:rPr>
              <w:tab/>
            </w:r>
            <w:r w:rsidR="00945537" w:rsidRPr="00E76589">
              <w:rPr>
                <w:rStyle w:val="Hyperlink"/>
                <w:noProof/>
              </w:rPr>
              <w:t>Hazard of the enzyme</w:t>
            </w:r>
            <w:r w:rsidR="00945537">
              <w:rPr>
                <w:noProof/>
                <w:webHidden/>
              </w:rPr>
              <w:tab/>
            </w:r>
            <w:r w:rsidR="00945537">
              <w:rPr>
                <w:noProof/>
                <w:webHidden/>
              </w:rPr>
              <w:fldChar w:fldCharType="begin"/>
            </w:r>
            <w:r w:rsidR="00945537">
              <w:rPr>
                <w:noProof/>
                <w:webHidden/>
              </w:rPr>
              <w:instrText xml:space="preserve"> PAGEREF _Toc492456034 \h </w:instrText>
            </w:r>
            <w:r w:rsidR="00945537">
              <w:rPr>
                <w:noProof/>
                <w:webHidden/>
              </w:rPr>
            </w:r>
            <w:r w:rsidR="00945537">
              <w:rPr>
                <w:noProof/>
                <w:webHidden/>
              </w:rPr>
              <w:fldChar w:fldCharType="separate"/>
            </w:r>
            <w:r>
              <w:rPr>
                <w:noProof/>
                <w:webHidden/>
              </w:rPr>
              <w:t>12</w:t>
            </w:r>
            <w:r w:rsidR="00945537">
              <w:rPr>
                <w:noProof/>
                <w:webHidden/>
              </w:rPr>
              <w:fldChar w:fldCharType="end"/>
            </w:r>
          </w:hyperlink>
        </w:p>
        <w:p w14:paraId="296E945D" w14:textId="7595E1B0"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5" w:history="1">
            <w:r w:rsidR="00945537" w:rsidRPr="00E76589">
              <w:rPr>
                <w:rStyle w:val="Hyperlink"/>
                <w:noProof/>
              </w:rPr>
              <w:t xml:space="preserve">3.4 </w:t>
            </w:r>
            <w:r w:rsidR="00945537">
              <w:rPr>
                <w:rFonts w:eastAsiaTheme="minorEastAsia" w:cstheme="minorBidi"/>
                <w:i w:val="0"/>
                <w:iCs w:val="0"/>
                <w:noProof/>
                <w:sz w:val="22"/>
                <w:szCs w:val="22"/>
                <w:lang w:val="en-NZ" w:eastAsia="en-NZ" w:bidi="ar-SA"/>
              </w:rPr>
              <w:tab/>
            </w:r>
            <w:r w:rsidR="00945537" w:rsidRPr="00E76589">
              <w:rPr>
                <w:rStyle w:val="Hyperlink"/>
                <w:noProof/>
              </w:rPr>
              <w:t>Animal studies</w:t>
            </w:r>
            <w:r w:rsidR="00945537">
              <w:rPr>
                <w:noProof/>
                <w:webHidden/>
              </w:rPr>
              <w:tab/>
            </w:r>
            <w:r w:rsidR="00945537">
              <w:rPr>
                <w:noProof/>
                <w:webHidden/>
              </w:rPr>
              <w:fldChar w:fldCharType="begin"/>
            </w:r>
            <w:r w:rsidR="00945537">
              <w:rPr>
                <w:noProof/>
                <w:webHidden/>
              </w:rPr>
              <w:instrText xml:space="preserve"> PAGEREF _Toc492456035 \h </w:instrText>
            </w:r>
            <w:r w:rsidR="00945537">
              <w:rPr>
                <w:noProof/>
                <w:webHidden/>
              </w:rPr>
            </w:r>
            <w:r w:rsidR="00945537">
              <w:rPr>
                <w:noProof/>
                <w:webHidden/>
              </w:rPr>
              <w:fldChar w:fldCharType="separate"/>
            </w:r>
            <w:r>
              <w:rPr>
                <w:noProof/>
                <w:webHidden/>
              </w:rPr>
              <w:t>13</w:t>
            </w:r>
            <w:r w:rsidR="00945537">
              <w:rPr>
                <w:noProof/>
                <w:webHidden/>
              </w:rPr>
              <w:fldChar w:fldCharType="end"/>
            </w:r>
          </w:hyperlink>
        </w:p>
        <w:p w14:paraId="123E6DC8" w14:textId="27D851EF"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6" w:history="1">
            <w:r w:rsidR="00945537" w:rsidRPr="00E76589">
              <w:rPr>
                <w:rStyle w:val="Hyperlink"/>
                <w:noProof/>
              </w:rPr>
              <w:t>3.5</w:t>
            </w:r>
            <w:r w:rsidR="00945537">
              <w:rPr>
                <w:rFonts w:eastAsiaTheme="minorEastAsia" w:cstheme="minorBidi"/>
                <w:i w:val="0"/>
                <w:iCs w:val="0"/>
                <w:noProof/>
                <w:sz w:val="22"/>
                <w:szCs w:val="22"/>
                <w:lang w:val="en-NZ" w:eastAsia="en-NZ" w:bidi="ar-SA"/>
              </w:rPr>
              <w:tab/>
            </w:r>
            <w:r w:rsidR="00945537" w:rsidRPr="00E76589">
              <w:rPr>
                <w:rStyle w:val="Hyperlink"/>
                <w:noProof/>
              </w:rPr>
              <w:t>Bioinformatic analysis for potential allergenicity</w:t>
            </w:r>
            <w:r w:rsidR="00945537">
              <w:rPr>
                <w:noProof/>
                <w:webHidden/>
              </w:rPr>
              <w:tab/>
            </w:r>
            <w:r w:rsidR="00945537">
              <w:rPr>
                <w:noProof/>
                <w:webHidden/>
              </w:rPr>
              <w:fldChar w:fldCharType="begin"/>
            </w:r>
            <w:r w:rsidR="00945537">
              <w:rPr>
                <w:noProof/>
                <w:webHidden/>
              </w:rPr>
              <w:instrText xml:space="preserve"> PAGEREF _Toc492456036 \h </w:instrText>
            </w:r>
            <w:r w:rsidR="00945537">
              <w:rPr>
                <w:noProof/>
                <w:webHidden/>
              </w:rPr>
            </w:r>
            <w:r w:rsidR="00945537">
              <w:rPr>
                <w:noProof/>
                <w:webHidden/>
              </w:rPr>
              <w:fldChar w:fldCharType="separate"/>
            </w:r>
            <w:r>
              <w:rPr>
                <w:noProof/>
                <w:webHidden/>
              </w:rPr>
              <w:t>14</w:t>
            </w:r>
            <w:r w:rsidR="00945537">
              <w:rPr>
                <w:noProof/>
                <w:webHidden/>
              </w:rPr>
              <w:fldChar w:fldCharType="end"/>
            </w:r>
          </w:hyperlink>
        </w:p>
        <w:p w14:paraId="00065BC4" w14:textId="1C287ACF"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7" w:history="1">
            <w:r w:rsidR="00945537" w:rsidRPr="00E76589">
              <w:rPr>
                <w:rStyle w:val="Hyperlink"/>
                <w:noProof/>
              </w:rPr>
              <w:t xml:space="preserve">3.6 </w:t>
            </w:r>
            <w:r w:rsidR="00945537">
              <w:rPr>
                <w:rFonts w:eastAsiaTheme="minorEastAsia" w:cstheme="minorBidi"/>
                <w:i w:val="0"/>
                <w:iCs w:val="0"/>
                <w:noProof/>
                <w:sz w:val="22"/>
                <w:szCs w:val="22"/>
                <w:lang w:val="en-NZ" w:eastAsia="en-NZ" w:bidi="ar-SA"/>
              </w:rPr>
              <w:tab/>
            </w:r>
            <w:r w:rsidR="00945537" w:rsidRPr="00E76589">
              <w:rPr>
                <w:rStyle w:val="Hyperlink"/>
                <w:noProof/>
              </w:rPr>
              <w:t>In vitro digestibility study</w:t>
            </w:r>
            <w:r w:rsidR="00945537">
              <w:rPr>
                <w:noProof/>
                <w:webHidden/>
              </w:rPr>
              <w:tab/>
            </w:r>
            <w:r w:rsidR="00945537">
              <w:rPr>
                <w:noProof/>
                <w:webHidden/>
              </w:rPr>
              <w:fldChar w:fldCharType="begin"/>
            </w:r>
            <w:r w:rsidR="00945537">
              <w:rPr>
                <w:noProof/>
                <w:webHidden/>
              </w:rPr>
              <w:instrText xml:space="preserve"> PAGEREF _Toc492456037 \h </w:instrText>
            </w:r>
            <w:r w:rsidR="00945537">
              <w:rPr>
                <w:noProof/>
                <w:webHidden/>
              </w:rPr>
            </w:r>
            <w:r w:rsidR="00945537">
              <w:rPr>
                <w:noProof/>
                <w:webHidden/>
              </w:rPr>
              <w:fldChar w:fldCharType="separate"/>
            </w:r>
            <w:r>
              <w:rPr>
                <w:noProof/>
                <w:webHidden/>
              </w:rPr>
              <w:t>14</w:t>
            </w:r>
            <w:r w:rsidR="00945537">
              <w:rPr>
                <w:noProof/>
                <w:webHidden/>
              </w:rPr>
              <w:fldChar w:fldCharType="end"/>
            </w:r>
          </w:hyperlink>
        </w:p>
        <w:p w14:paraId="0EFB13F8" w14:textId="7E099FCC"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8" w:history="1">
            <w:r w:rsidR="00945537" w:rsidRPr="00E76589">
              <w:rPr>
                <w:rStyle w:val="Hyperlink"/>
                <w:noProof/>
              </w:rPr>
              <w:t xml:space="preserve">3.7 </w:t>
            </w:r>
            <w:r w:rsidR="00945537">
              <w:rPr>
                <w:rFonts w:eastAsiaTheme="minorEastAsia" w:cstheme="minorBidi"/>
                <w:i w:val="0"/>
                <w:iCs w:val="0"/>
                <w:noProof/>
                <w:sz w:val="22"/>
                <w:szCs w:val="22"/>
                <w:lang w:val="en-NZ" w:eastAsia="en-NZ" w:bidi="ar-SA"/>
              </w:rPr>
              <w:tab/>
            </w:r>
            <w:r w:rsidR="00945537" w:rsidRPr="00E76589">
              <w:rPr>
                <w:rStyle w:val="Hyperlink"/>
                <w:noProof/>
              </w:rPr>
              <w:t>Residual allergens from the culture medium</w:t>
            </w:r>
            <w:r w:rsidR="00945537">
              <w:rPr>
                <w:noProof/>
                <w:webHidden/>
              </w:rPr>
              <w:tab/>
            </w:r>
            <w:r w:rsidR="00945537">
              <w:rPr>
                <w:noProof/>
                <w:webHidden/>
              </w:rPr>
              <w:fldChar w:fldCharType="begin"/>
            </w:r>
            <w:r w:rsidR="00945537">
              <w:rPr>
                <w:noProof/>
                <w:webHidden/>
              </w:rPr>
              <w:instrText xml:space="preserve"> PAGEREF _Toc492456038 \h </w:instrText>
            </w:r>
            <w:r w:rsidR="00945537">
              <w:rPr>
                <w:noProof/>
                <w:webHidden/>
              </w:rPr>
            </w:r>
            <w:r w:rsidR="00945537">
              <w:rPr>
                <w:noProof/>
                <w:webHidden/>
              </w:rPr>
              <w:fldChar w:fldCharType="separate"/>
            </w:r>
            <w:r>
              <w:rPr>
                <w:noProof/>
                <w:webHidden/>
              </w:rPr>
              <w:t>14</w:t>
            </w:r>
            <w:r w:rsidR="00945537">
              <w:rPr>
                <w:noProof/>
                <w:webHidden/>
              </w:rPr>
              <w:fldChar w:fldCharType="end"/>
            </w:r>
          </w:hyperlink>
        </w:p>
        <w:p w14:paraId="5139D98D" w14:textId="2172DC6E"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39" w:history="1">
            <w:r w:rsidR="00945537" w:rsidRPr="00E76589">
              <w:rPr>
                <w:rStyle w:val="Hyperlink"/>
                <w:noProof/>
              </w:rPr>
              <w:t>3.8</w:t>
            </w:r>
            <w:r w:rsidR="00945537">
              <w:rPr>
                <w:rFonts w:eastAsiaTheme="minorEastAsia" w:cstheme="minorBidi"/>
                <w:i w:val="0"/>
                <w:iCs w:val="0"/>
                <w:noProof/>
                <w:sz w:val="22"/>
                <w:szCs w:val="22"/>
                <w:lang w:val="en-NZ" w:eastAsia="en-NZ" w:bidi="ar-SA"/>
              </w:rPr>
              <w:tab/>
            </w:r>
            <w:r w:rsidR="00945537" w:rsidRPr="00E76589">
              <w:rPr>
                <w:rStyle w:val="Hyperlink"/>
                <w:noProof/>
              </w:rPr>
              <w:t>Enzyme and source microorganism nomenclature</w:t>
            </w:r>
            <w:r w:rsidR="00945537">
              <w:rPr>
                <w:noProof/>
                <w:webHidden/>
              </w:rPr>
              <w:tab/>
            </w:r>
            <w:r w:rsidR="00945537">
              <w:rPr>
                <w:noProof/>
                <w:webHidden/>
              </w:rPr>
              <w:fldChar w:fldCharType="begin"/>
            </w:r>
            <w:r w:rsidR="00945537">
              <w:rPr>
                <w:noProof/>
                <w:webHidden/>
              </w:rPr>
              <w:instrText xml:space="preserve"> PAGEREF _Toc492456039 \h </w:instrText>
            </w:r>
            <w:r w:rsidR="00945537">
              <w:rPr>
                <w:noProof/>
                <w:webHidden/>
              </w:rPr>
            </w:r>
            <w:r w:rsidR="00945537">
              <w:rPr>
                <w:noProof/>
                <w:webHidden/>
              </w:rPr>
              <w:fldChar w:fldCharType="separate"/>
            </w:r>
            <w:r>
              <w:rPr>
                <w:noProof/>
                <w:webHidden/>
              </w:rPr>
              <w:t>15</w:t>
            </w:r>
            <w:r w:rsidR="00945537">
              <w:rPr>
                <w:noProof/>
                <w:webHidden/>
              </w:rPr>
              <w:fldChar w:fldCharType="end"/>
            </w:r>
          </w:hyperlink>
        </w:p>
        <w:p w14:paraId="335BD028" w14:textId="01BBD648" w:rsidR="00945537" w:rsidRDefault="00905784">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6040" w:history="1">
            <w:r w:rsidR="00945537" w:rsidRPr="00E76589">
              <w:rPr>
                <w:rStyle w:val="Hyperlink"/>
                <w:noProof/>
              </w:rPr>
              <w:t>3.9</w:t>
            </w:r>
            <w:r w:rsidR="00945537">
              <w:rPr>
                <w:rFonts w:eastAsiaTheme="minorEastAsia" w:cstheme="minorBidi"/>
                <w:i w:val="0"/>
                <w:iCs w:val="0"/>
                <w:noProof/>
                <w:sz w:val="22"/>
                <w:szCs w:val="22"/>
                <w:lang w:val="en-NZ" w:eastAsia="en-NZ" w:bidi="ar-SA"/>
              </w:rPr>
              <w:tab/>
            </w:r>
            <w:r w:rsidR="00945537" w:rsidRPr="00E76589">
              <w:rPr>
                <w:rStyle w:val="Hyperlink"/>
                <w:noProof/>
              </w:rPr>
              <w:t>Hazard assessment conclusion</w:t>
            </w:r>
            <w:r w:rsidR="00945537">
              <w:rPr>
                <w:noProof/>
                <w:webHidden/>
              </w:rPr>
              <w:tab/>
            </w:r>
            <w:r w:rsidR="00945537">
              <w:rPr>
                <w:noProof/>
                <w:webHidden/>
              </w:rPr>
              <w:fldChar w:fldCharType="begin"/>
            </w:r>
            <w:r w:rsidR="00945537">
              <w:rPr>
                <w:noProof/>
                <w:webHidden/>
              </w:rPr>
              <w:instrText xml:space="preserve"> PAGEREF _Toc492456040 \h </w:instrText>
            </w:r>
            <w:r w:rsidR="00945537">
              <w:rPr>
                <w:noProof/>
                <w:webHidden/>
              </w:rPr>
            </w:r>
            <w:r w:rsidR="00945537">
              <w:rPr>
                <w:noProof/>
                <w:webHidden/>
              </w:rPr>
              <w:fldChar w:fldCharType="separate"/>
            </w:r>
            <w:r>
              <w:rPr>
                <w:noProof/>
                <w:webHidden/>
              </w:rPr>
              <w:t>15</w:t>
            </w:r>
            <w:r w:rsidR="00945537">
              <w:rPr>
                <w:noProof/>
                <w:webHidden/>
              </w:rPr>
              <w:fldChar w:fldCharType="end"/>
            </w:r>
          </w:hyperlink>
        </w:p>
        <w:p w14:paraId="644D5F4D" w14:textId="202804E3" w:rsidR="00945537" w:rsidRDefault="00905784">
          <w:pPr>
            <w:pStyle w:val="TOC1"/>
            <w:tabs>
              <w:tab w:val="right" w:leader="dot" w:pos="9060"/>
            </w:tabs>
            <w:rPr>
              <w:rFonts w:eastAsiaTheme="minorEastAsia" w:cstheme="minorBidi"/>
              <w:b w:val="0"/>
              <w:bCs w:val="0"/>
              <w:caps w:val="0"/>
              <w:noProof/>
              <w:sz w:val="22"/>
              <w:szCs w:val="22"/>
              <w:lang w:val="en-NZ" w:eastAsia="en-NZ" w:bidi="ar-SA"/>
            </w:rPr>
          </w:pPr>
          <w:hyperlink w:anchor="_Toc492456041" w:history="1">
            <w:r w:rsidR="00945537" w:rsidRPr="00E76589">
              <w:rPr>
                <w:rStyle w:val="Hyperlink"/>
                <w:noProof/>
              </w:rPr>
              <w:t>References</w:t>
            </w:r>
            <w:r w:rsidR="00945537">
              <w:rPr>
                <w:noProof/>
                <w:webHidden/>
              </w:rPr>
              <w:tab/>
            </w:r>
            <w:r w:rsidR="00945537">
              <w:rPr>
                <w:noProof/>
                <w:webHidden/>
              </w:rPr>
              <w:fldChar w:fldCharType="begin"/>
            </w:r>
            <w:r w:rsidR="00945537">
              <w:rPr>
                <w:noProof/>
                <w:webHidden/>
              </w:rPr>
              <w:instrText xml:space="preserve"> PAGEREF _Toc492456041 \h </w:instrText>
            </w:r>
            <w:r w:rsidR="00945537">
              <w:rPr>
                <w:noProof/>
                <w:webHidden/>
              </w:rPr>
            </w:r>
            <w:r w:rsidR="00945537">
              <w:rPr>
                <w:noProof/>
                <w:webHidden/>
              </w:rPr>
              <w:fldChar w:fldCharType="separate"/>
            </w:r>
            <w:r>
              <w:rPr>
                <w:noProof/>
                <w:webHidden/>
              </w:rPr>
              <w:t>16</w:t>
            </w:r>
            <w:r w:rsidR="00945537">
              <w:rPr>
                <w:noProof/>
                <w:webHidden/>
              </w:rPr>
              <w:fldChar w:fldCharType="end"/>
            </w:r>
          </w:hyperlink>
        </w:p>
        <w:p w14:paraId="7DC6D2A7" w14:textId="7652AC97" w:rsidR="006A726E" w:rsidRDefault="006A726E">
          <w:r>
            <w:rPr>
              <w:b/>
              <w:bCs/>
              <w:noProof/>
            </w:rPr>
            <w:fldChar w:fldCharType="end"/>
          </w:r>
        </w:p>
      </w:sdtContent>
    </w:sdt>
    <w:p w14:paraId="2A5656BA" w14:textId="34BB658E" w:rsidR="00051ED9" w:rsidRDefault="00562917" w:rsidP="00772BDC">
      <w:r w:rsidRPr="00E203C2">
        <w:br w:type="page"/>
      </w:r>
    </w:p>
    <w:p w14:paraId="7188B223" w14:textId="227094B0" w:rsidR="00236F19" w:rsidRPr="00236F19" w:rsidRDefault="00236F19" w:rsidP="00236F19">
      <w:pPr>
        <w:pStyle w:val="Heading1"/>
        <w:spacing w:before="0"/>
      </w:pPr>
      <w:bookmarkStart w:id="5" w:name="_Toc485893667"/>
      <w:bookmarkStart w:id="6" w:name="_Toc492456017"/>
      <w:r>
        <w:lastRenderedPageBreak/>
        <w:t>Protein Glutaminase</w:t>
      </w:r>
      <w:bookmarkEnd w:id="5"/>
      <w:bookmarkEnd w:id="6"/>
    </w:p>
    <w:p w14:paraId="2426E2DA" w14:textId="2E70E8D4" w:rsidR="00236F19" w:rsidRPr="00A206A6" w:rsidRDefault="00236F19" w:rsidP="00A206A6">
      <w:pPr>
        <w:keepNext/>
        <w:spacing w:before="240" w:after="240"/>
        <w:ind w:left="810" w:hanging="851"/>
        <w:outlineLvl w:val="1"/>
        <w:rPr>
          <w:rFonts w:cs="Arial"/>
          <w:b/>
          <w:bCs/>
          <w:sz w:val="28"/>
          <w:szCs w:val="22"/>
          <w:lang w:bidi="ar-SA"/>
        </w:rPr>
      </w:pPr>
      <w:bookmarkStart w:id="7" w:name="_Toc476908557"/>
      <w:bookmarkStart w:id="8" w:name="_Toc478375778"/>
      <w:bookmarkStart w:id="9" w:name="_Toc485893668"/>
      <w:bookmarkStart w:id="10" w:name="_Toc492456018"/>
      <w:r w:rsidRPr="00A206A6">
        <w:rPr>
          <w:rFonts w:cs="Arial"/>
          <w:b/>
          <w:bCs/>
          <w:sz w:val="28"/>
          <w:szCs w:val="22"/>
          <w:lang w:bidi="ar-SA"/>
        </w:rPr>
        <w:t>1</w:t>
      </w:r>
      <w:r w:rsidRPr="00A206A6">
        <w:rPr>
          <w:rFonts w:cs="Arial"/>
          <w:b/>
          <w:bCs/>
          <w:sz w:val="28"/>
          <w:szCs w:val="22"/>
          <w:lang w:bidi="ar-SA"/>
        </w:rPr>
        <w:tab/>
      </w:r>
      <w:bookmarkStart w:id="11" w:name="_Toc472668665"/>
      <w:r w:rsidRPr="00A206A6">
        <w:rPr>
          <w:rFonts w:cs="Arial"/>
          <w:b/>
          <w:bCs/>
          <w:sz w:val="28"/>
          <w:szCs w:val="22"/>
          <w:lang w:bidi="ar-SA"/>
        </w:rPr>
        <w:t>Introduction</w:t>
      </w:r>
      <w:bookmarkEnd w:id="7"/>
      <w:bookmarkEnd w:id="8"/>
      <w:bookmarkEnd w:id="11"/>
      <w:r w:rsidR="006B4015" w:rsidRPr="00A206A6">
        <w:rPr>
          <w:rFonts w:cs="Arial"/>
          <w:b/>
          <w:bCs/>
          <w:sz w:val="28"/>
          <w:szCs w:val="22"/>
          <w:lang w:bidi="ar-SA"/>
        </w:rPr>
        <w:t xml:space="preserve"> and description</w:t>
      </w:r>
      <w:bookmarkEnd w:id="9"/>
      <w:bookmarkEnd w:id="10"/>
    </w:p>
    <w:p w14:paraId="31A248D4" w14:textId="389526FB" w:rsidR="006B4015" w:rsidRPr="006B4015" w:rsidRDefault="006B4015" w:rsidP="006B4015">
      <w:pPr>
        <w:widowControl/>
        <w:tabs>
          <w:tab w:val="left" w:pos="993"/>
        </w:tabs>
        <w:rPr>
          <w:rFonts w:eastAsia="Calibri"/>
          <w:szCs w:val="22"/>
          <w:lang w:bidi="ar-SA"/>
        </w:rPr>
      </w:pPr>
      <w:r w:rsidRPr="006B4015">
        <w:rPr>
          <w:rFonts w:eastAsia="Calibri"/>
          <w:szCs w:val="22"/>
          <w:lang w:bidi="ar-SA"/>
        </w:rPr>
        <w:t xml:space="preserve">Amano Enzyme Inc. (Amano) is proposing to amend Schedule 18 of the </w:t>
      </w:r>
      <w:r w:rsidRPr="006B4015">
        <w:rPr>
          <w:rFonts w:eastAsia="Calibri"/>
          <w:i/>
          <w:szCs w:val="22"/>
          <w:lang w:bidi="ar-SA"/>
        </w:rPr>
        <w:t xml:space="preserve">Australia New Zealand Food Standards Code </w:t>
      </w:r>
      <w:r w:rsidRPr="006B4015">
        <w:rPr>
          <w:rFonts w:eastAsia="Calibri"/>
          <w:szCs w:val="22"/>
          <w:lang w:bidi="ar-SA"/>
        </w:rPr>
        <w:t xml:space="preserve">(the Code) to include protein glutaminase from </w:t>
      </w:r>
      <w:r w:rsidR="00C94B26">
        <w:rPr>
          <w:rFonts w:eastAsia="Calibri"/>
          <w:szCs w:val="22"/>
          <w:lang w:bidi="ar-SA"/>
        </w:rPr>
        <w:t xml:space="preserve">a strain of </w:t>
      </w:r>
      <w:r w:rsidRPr="006B4015">
        <w:rPr>
          <w:rFonts w:eastAsia="Calibri"/>
          <w:i/>
          <w:szCs w:val="22"/>
          <w:lang w:bidi="ar-SA"/>
        </w:rPr>
        <w:t>Chryseobacterium proteolyticum</w:t>
      </w:r>
      <w:r w:rsidRPr="006B4015">
        <w:rPr>
          <w:rFonts w:eastAsia="Calibri"/>
          <w:szCs w:val="22"/>
          <w:lang w:bidi="ar-SA"/>
        </w:rPr>
        <w:t xml:space="preserve"> as an enzyme of microbial origin. The enzyme is derived from a non-genetically modified strain of </w:t>
      </w:r>
      <w:r w:rsidR="006C6646" w:rsidRPr="006B4015">
        <w:rPr>
          <w:rFonts w:eastAsia="Calibri"/>
          <w:i/>
          <w:szCs w:val="22"/>
          <w:lang w:bidi="ar-SA"/>
        </w:rPr>
        <w:t>C</w:t>
      </w:r>
      <w:r w:rsidR="006C6646">
        <w:rPr>
          <w:rFonts w:eastAsia="Calibri"/>
          <w:i/>
          <w:szCs w:val="22"/>
          <w:lang w:bidi="ar-SA"/>
        </w:rPr>
        <w:t>.</w:t>
      </w:r>
      <w:r w:rsidR="006C6646" w:rsidRPr="006B4015">
        <w:rPr>
          <w:rFonts w:eastAsia="Calibri"/>
          <w:i/>
          <w:szCs w:val="22"/>
          <w:lang w:bidi="ar-SA"/>
        </w:rPr>
        <w:t xml:space="preserve"> </w:t>
      </w:r>
      <w:r w:rsidRPr="006B4015">
        <w:rPr>
          <w:rFonts w:eastAsia="Calibri"/>
          <w:i/>
          <w:szCs w:val="22"/>
          <w:lang w:bidi="ar-SA"/>
        </w:rPr>
        <w:t>proteolyticum</w:t>
      </w:r>
      <w:r w:rsidRPr="006B4015">
        <w:rPr>
          <w:rFonts w:eastAsia="Calibri"/>
          <w:szCs w:val="22"/>
          <w:lang w:bidi="ar-SA"/>
        </w:rPr>
        <w:t>, with the production strain obtained by several mutations from the original strain found in Japanese soil.</w:t>
      </w:r>
    </w:p>
    <w:p w14:paraId="39D0A92F" w14:textId="77777777" w:rsidR="006B4015" w:rsidRPr="006B4015" w:rsidRDefault="006B4015" w:rsidP="006B4015">
      <w:pPr>
        <w:widowControl/>
        <w:tabs>
          <w:tab w:val="left" w:pos="993"/>
        </w:tabs>
        <w:rPr>
          <w:rFonts w:eastAsia="Calibri"/>
          <w:szCs w:val="22"/>
          <w:lang w:bidi="ar-SA"/>
        </w:rPr>
      </w:pPr>
    </w:p>
    <w:p w14:paraId="14F74472" w14:textId="77777777" w:rsidR="006B4015" w:rsidRPr="006B4015" w:rsidRDefault="006B4015" w:rsidP="006B4015">
      <w:pPr>
        <w:widowControl/>
        <w:tabs>
          <w:tab w:val="left" w:pos="993"/>
        </w:tabs>
        <w:rPr>
          <w:rFonts w:eastAsia="Calibri"/>
          <w:szCs w:val="22"/>
          <w:lang w:bidi="ar-SA"/>
        </w:rPr>
      </w:pPr>
      <w:r w:rsidRPr="006B4015">
        <w:rPr>
          <w:rFonts w:eastAsia="Calibri"/>
          <w:szCs w:val="22"/>
          <w:lang w:bidi="ar-SA"/>
        </w:rPr>
        <w:t xml:space="preserve">Protein glutaminase (EC 3.5.1.44) catalyses the deamidation of glutaminyl residues in a substrate polypeptide. Deamidation is the removal or conversion of an amide functional group from the side chain of glutamine and results in the conversion of glutaminyl residues to glutamyl residues and release of ammonia. </w:t>
      </w:r>
    </w:p>
    <w:p w14:paraId="6D09911E" w14:textId="77777777" w:rsidR="006B4015" w:rsidRPr="006B4015" w:rsidRDefault="006B4015" w:rsidP="006B4015">
      <w:pPr>
        <w:widowControl/>
        <w:tabs>
          <w:tab w:val="left" w:pos="993"/>
        </w:tabs>
        <w:rPr>
          <w:rFonts w:eastAsia="Calibri"/>
          <w:szCs w:val="22"/>
          <w:lang w:bidi="ar-SA"/>
        </w:rPr>
      </w:pPr>
    </w:p>
    <w:p w14:paraId="23112596" w14:textId="137A2C8F" w:rsidR="006B4015" w:rsidRPr="006B4015" w:rsidRDefault="006B4015" w:rsidP="006B4015">
      <w:pPr>
        <w:widowControl/>
        <w:rPr>
          <w:rFonts w:eastAsia="Calibri"/>
          <w:szCs w:val="22"/>
          <w:lang w:bidi="ar-SA"/>
        </w:rPr>
      </w:pPr>
      <w:r w:rsidRPr="00C5495C">
        <w:rPr>
          <w:rFonts w:eastAsia="Calibri"/>
          <w:szCs w:val="22"/>
          <w:lang w:bidi="ar-SA"/>
        </w:rPr>
        <w:t xml:space="preserve">The main benefit to food manufacturers using protein glutaminase is its ability to increase the solubility of proteins due to the formation of negatively charged </w:t>
      </w:r>
      <w:r w:rsidR="00F0170D" w:rsidRPr="00C5495C">
        <w:rPr>
          <w:rFonts w:eastAsia="Calibri"/>
          <w:szCs w:val="22"/>
          <w:lang w:bidi="ar-SA"/>
        </w:rPr>
        <w:t>glutamyl residues on the protein</w:t>
      </w:r>
      <w:r w:rsidRPr="00C5495C">
        <w:rPr>
          <w:rFonts w:eastAsia="Calibri"/>
          <w:szCs w:val="22"/>
          <w:lang w:bidi="ar-SA"/>
        </w:rPr>
        <w:t xml:space="preserve">, which contributes to the electrostatic repulsion of intermolecular proteins. This results in protein-containing foods with enhanced protein solubility and potentially </w:t>
      </w:r>
      <w:r w:rsidR="005A266D" w:rsidRPr="00C5495C">
        <w:rPr>
          <w:rFonts w:eastAsia="Calibri"/>
          <w:szCs w:val="22"/>
          <w:lang w:bidi="ar-SA"/>
        </w:rPr>
        <w:t xml:space="preserve">reduced </w:t>
      </w:r>
      <w:r w:rsidRPr="00C5495C">
        <w:rPr>
          <w:rFonts w:eastAsia="Calibri"/>
          <w:szCs w:val="22"/>
          <w:lang w:bidi="ar-SA"/>
        </w:rPr>
        <w:t>“off flavour” problems</w:t>
      </w:r>
      <w:r w:rsidR="005A266D" w:rsidRPr="00C5495C">
        <w:rPr>
          <w:rFonts w:eastAsia="Calibri"/>
          <w:szCs w:val="22"/>
          <w:lang w:bidi="ar-SA"/>
        </w:rPr>
        <w:t xml:space="preserve"> compared to alternative chemical or heat treatments</w:t>
      </w:r>
      <w:r w:rsidR="00C5495C" w:rsidRPr="00C5495C">
        <w:rPr>
          <w:rFonts w:eastAsia="Calibri"/>
          <w:szCs w:val="22"/>
          <w:lang w:bidi="ar-SA"/>
        </w:rPr>
        <w:t>.</w:t>
      </w:r>
    </w:p>
    <w:p w14:paraId="63DB9E5E" w14:textId="77777777" w:rsidR="006B4015" w:rsidRPr="006B4015" w:rsidRDefault="006B4015" w:rsidP="006B4015">
      <w:pPr>
        <w:widowControl/>
        <w:rPr>
          <w:rFonts w:eastAsia="Calibri"/>
          <w:szCs w:val="22"/>
          <w:lang w:bidi="ar-SA"/>
        </w:rPr>
      </w:pPr>
    </w:p>
    <w:p w14:paraId="7B5762CC" w14:textId="77777777" w:rsidR="006B4015" w:rsidRPr="006B4015" w:rsidRDefault="006B4015" w:rsidP="006B4015">
      <w:pPr>
        <w:widowControl/>
        <w:tabs>
          <w:tab w:val="left" w:pos="993"/>
        </w:tabs>
        <w:rPr>
          <w:rFonts w:eastAsia="Calibri"/>
          <w:szCs w:val="22"/>
          <w:lang w:bidi="ar-SA"/>
        </w:rPr>
      </w:pPr>
      <w:r w:rsidRPr="006B4015">
        <w:rPr>
          <w:rFonts w:eastAsia="Calibri"/>
          <w:szCs w:val="22"/>
          <w:lang w:bidi="ar-SA"/>
        </w:rPr>
        <w:t>The functionality that protein glutaminase provides food manufacturers includes emulsification, foam stabilisation and gelling.</w:t>
      </w:r>
    </w:p>
    <w:p w14:paraId="62762677" w14:textId="77777777" w:rsidR="006B4015" w:rsidRPr="006B4015" w:rsidRDefault="006B4015" w:rsidP="006B4015">
      <w:pPr>
        <w:widowControl/>
        <w:tabs>
          <w:tab w:val="left" w:pos="993"/>
        </w:tabs>
        <w:rPr>
          <w:rFonts w:eastAsia="Calibri"/>
          <w:szCs w:val="22"/>
          <w:lang w:bidi="ar-SA"/>
        </w:rPr>
      </w:pPr>
    </w:p>
    <w:p w14:paraId="69AE94E5" w14:textId="7FF684F9" w:rsidR="006B4015" w:rsidRPr="006B4015" w:rsidRDefault="006B4015" w:rsidP="006B4015">
      <w:pPr>
        <w:widowControl/>
        <w:tabs>
          <w:tab w:val="left" w:pos="993"/>
        </w:tabs>
        <w:rPr>
          <w:rFonts w:eastAsia="Calibri"/>
          <w:szCs w:val="22"/>
          <w:lang w:bidi="ar-SA"/>
        </w:rPr>
      </w:pPr>
      <w:r w:rsidRPr="006B4015">
        <w:rPr>
          <w:rFonts w:eastAsia="Calibri"/>
          <w:szCs w:val="22"/>
          <w:lang w:bidi="ar-SA"/>
        </w:rPr>
        <w:t>This enzyme is suitable for use in various food processing applications, such as baking and pasta/noodle making and the processing of milk</w:t>
      </w:r>
      <w:r w:rsidR="001E2390">
        <w:rPr>
          <w:rFonts w:eastAsia="Calibri"/>
          <w:szCs w:val="22"/>
          <w:lang w:bidi="ar-SA"/>
        </w:rPr>
        <w:t>,</w:t>
      </w:r>
      <w:r w:rsidRPr="006B4015">
        <w:rPr>
          <w:rFonts w:eastAsia="Calibri"/>
          <w:szCs w:val="22"/>
          <w:lang w:bidi="ar-SA"/>
        </w:rPr>
        <w:t xml:space="preserve"> dairy, meat, fish, grain</w:t>
      </w:r>
      <w:r w:rsidR="001E2390">
        <w:rPr>
          <w:rFonts w:eastAsia="Calibri"/>
          <w:szCs w:val="22"/>
          <w:lang w:bidi="ar-SA"/>
        </w:rPr>
        <w:t xml:space="preserve">, </w:t>
      </w:r>
      <w:r w:rsidRPr="006B4015">
        <w:rPr>
          <w:rFonts w:eastAsia="Calibri"/>
          <w:szCs w:val="22"/>
          <w:lang w:bidi="ar-SA"/>
        </w:rPr>
        <w:t>yeast</w:t>
      </w:r>
      <w:r w:rsidR="001E2390">
        <w:rPr>
          <w:rFonts w:eastAsia="Calibri"/>
          <w:szCs w:val="22"/>
          <w:lang w:bidi="ar-SA"/>
        </w:rPr>
        <w:t xml:space="preserve"> products and egg based products</w:t>
      </w:r>
      <w:r w:rsidRPr="006B4015">
        <w:rPr>
          <w:rFonts w:eastAsia="Calibri"/>
          <w:szCs w:val="22"/>
          <w:lang w:bidi="ar-SA"/>
        </w:rPr>
        <w:t xml:space="preserve">. </w:t>
      </w:r>
    </w:p>
    <w:p w14:paraId="69930415" w14:textId="77777777" w:rsidR="006B4015" w:rsidRPr="006B4015" w:rsidRDefault="006B4015" w:rsidP="006B4015">
      <w:pPr>
        <w:widowControl/>
        <w:rPr>
          <w:rFonts w:eastAsia="Calibri"/>
          <w:szCs w:val="22"/>
          <w:lang w:bidi="ar-SA"/>
        </w:rPr>
      </w:pPr>
    </w:p>
    <w:p w14:paraId="4810933D" w14:textId="0920274E" w:rsidR="006B4015" w:rsidRPr="006B4015" w:rsidRDefault="006B4015" w:rsidP="006B4015">
      <w:pPr>
        <w:widowControl/>
        <w:tabs>
          <w:tab w:val="left" w:pos="993"/>
        </w:tabs>
        <w:rPr>
          <w:rFonts w:eastAsia="Calibri"/>
          <w:szCs w:val="22"/>
          <w:lang w:bidi="ar-SA"/>
        </w:rPr>
      </w:pPr>
      <w:r w:rsidRPr="006B4015">
        <w:rPr>
          <w:rFonts w:eastAsia="Calibri"/>
          <w:szCs w:val="22"/>
          <w:lang w:bidi="ar-SA"/>
        </w:rPr>
        <w:t xml:space="preserve">Protein glutaminase will be used as a processing aid in food manufacturing at </w:t>
      </w:r>
      <w:r w:rsidRPr="006B4015">
        <w:rPr>
          <w:rFonts w:eastAsia="Calibri"/>
          <w:i/>
          <w:szCs w:val="22"/>
          <w:lang w:bidi="ar-SA"/>
        </w:rPr>
        <w:t>Quantum Satis</w:t>
      </w:r>
      <w:r w:rsidRPr="006B4015">
        <w:rPr>
          <w:rFonts w:eastAsia="Calibri"/>
          <w:szCs w:val="22"/>
          <w:lang w:bidi="ar-SA"/>
        </w:rPr>
        <w:t xml:space="preserve"> levels, with Amano providing indicative usage rates for various food matrixes. </w:t>
      </w:r>
    </w:p>
    <w:p w14:paraId="3EED5D6F" w14:textId="77777777" w:rsidR="006B4015" w:rsidRPr="006B4015" w:rsidRDefault="006B4015" w:rsidP="006B4015">
      <w:pPr>
        <w:widowControl/>
        <w:tabs>
          <w:tab w:val="left" w:pos="993"/>
        </w:tabs>
        <w:rPr>
          <w:rFonts w:eastAsia="Calibri"/>
          <w:szCs w:val="22"/>
          <w:lang w:bidi="ar-SA"/>
        </w:rPr>
      </w:pPr>
    </w:p>
    <w:p w14:paraId="33262FBC" w14:textId="77777777" w:rsidR="006B4015" w:rsidRPr="006B4015" w:rsidRDefault="006B4015" w:rsidP="006B4015">
      <w:pPr>
        <w:widowControl/>
        <w:tabs>
          <w:tab w:val="left" w:pos="993"/>
        </w:tabs>
        <w:rPr>
          <w:rFonts w:eastAsia="Calibri"/>
          <w:szCs w:val="22"/>
          <w:lang w:bidi="ar-SA"/>
        </w:rPr>
      </w:pPr>
      <w:r w:rsidRPr="006B4015">
        <w:rPr>
          <w:rFonts w:eastAsia="Calibri"/>
          <w:szCs w:val="22"/>
          <w:lang w:bidi="ar-SA"/>
        </w:rPr>
        <w:t xml:space="preserve">Protein glutaminase is approved in France (2006) and the USA (2009), where the United States Food &amp; Drug Administration (USFDA) responded to the Generally Recognized as Safe (GRAS) notification submitted by Amano with “no questions regarding protein glutaminase enzyme preparation from </w:t>
      </w:r>
      <w:r w:rsidRPr="006B4015">
        <w:rPr>
          <w:rFonts w:eastAsia="Calibri"/>
          <w:i/>
          <w:szCs w:val="22"/>
          <w:lang w:bidi="ar-SA"/>
        </w:rPr>
        <w:t>Chryseobacterium proteolyticum</w:t>
      </w:r>
      <w:r w:rsidRPr="006B4015">
        <w:rPr>
          <w:rFonts w:eastAsia="Calibri"/>
          <w:szCs w:val="22"/>
          <w:lang w:bidi="ar-SA"/>
        </w:rPr>
        <w:t>” (GRAS Notice No. GRN 267).</w:t>
      </w:r>
    </w:p>
    <w:p w14:paraId="5B0212EA" w14:textId="77777777" w:rsidR="006B4015" w:rsidRPr="006B4015" w:rsidRDefault="006B4015" w:rsidP="006B4015">
      <w:pPr>
        <w:widowControl/>
        <w:tabs>
          <w:tab w:val="left" w:pos="993"/>
        </w:tabs>
        <w:rPr>
          <w:rFonts w:eastAsia="Calibri"/>
          <w:szCs w:val="22"/>
          <w:lang w:bidi="ar-SA"/>
        </w:rPr>
      </w:pPr>
    </w:p>
    <w:p w14:paraId="799C901E" w14:textId="77777777" w:rsidR="006B4015" w:rsidRPr="006B4015" w:rsidRDefault="006B4015" w:rsidP="006B4015">
      <w:pPr>
        <w:widowControl/>
        <w:tabs>
          <w:tab w:val="left" w:pos="993"/>
        </w:tabs>
        <w:rPr>
          <w:rFonts w:eastAsia="Calibri"/>
          <w:szCs w:val="22"/>
          <w:lang w:bidi="ar-SA"/>
        </w:rPr>
      </w:pPr>
      <w:r w:rsidRPr="006B4015">
        <w:rPr>
          <w:rFonts w:eastAsia="Calibri"/>
          <w:szCs w:val="22"/>
          <w:lang w:bidi="ar-SA"/>
        </w:rPr>
        <w:t xml:space="preserve">Protein glutaminase complies with the internationally accepted Joint Expert Committee on Food Additives (JECFA) specifications for chemical and microbiological purity of food enzymes (FAO/WHO, 2006). </w:t>
      </w:r>
    </w:p>
    <w:p w14:paraId="4F9D554A" w14:textId="37A27AA8" w:rsidR="006B4015" w:rsidRPr="00461A35" w:rsidRDefault="006B4015" w:rsidP="006B4015">
      <w:pPr>
        <w:pStyle w:val="Heading3"/>
      </w:pPr>
      <w:bookmarkStart w:id="12" w:name="_Toc485893669"/>
      <w:bookmarkStart w:id="13" w:name="_Toc492456019"/>
      <w:r>
        <w:t xml:space="preserve">1.1 </w:t>
      </w:r>
      <w:r>
        <w:tab/>
      </w:r>
      <w:r w:rsidRPr="00461A35">
        <w:t>Identity</w:t>
      </w:r>
      <w:bookmarkEnd w:id="12"/>
      <w:bookmarkEnd w:id="13"/>
    </w:p>
    <w:p w14:paraId="61DDC92E" w14:textId="77777777" w:rsidR="006B4015" w:rsidRDefault="006B4015" w:rsidP="006B4015">
      <w:pPr>
        <w:tabs>
          <w:tab w:val="left" w:pos="567"/>
        </w:tabs>
      </w:pPr>
      <w:r w:rsidRPr="006014F1">
        <w:t xml:space="preserve">Information regarding the identity of the enzyme </w:t>
      </w:r>
      <w:r>
        <w:t>included in</w:t>
      </w:r>
      <w:r w:rsidRPr="006014F1">
        <w:t xml:space="preserve"> the Application has been verified using an appropriate enzyme nomenclature reference (IUBMB 201</w:t>
      </w:r>
      <w:r>
        <w:t>6</w:t>
      </w:r>
      <w:r w:rsidRPr="006014F1">
        <w:t>).</w:t>
      </w:r>
    </w:p>
    <w:p w14:paraId="147BC6A0" w14:textId="77777777" w:rsidR="006B4015" w:rsidRDefault="006B4015" w:rsidP="006B4015">
      <w:pPr>
        <w:tabs>
          <w:tab w:val="left" w:pos="1080"/>
        </w:tabs>
        <w:ind w:hanging="540"/>
      </w:pPr>
    </w:p>
    <w:p w14:paraId="6B7FA497" w14:textId="77777777" w:rsidR="006B4015" w:rsidRDefault="006B4015" w:rsidP="006B4015">
      <w:pPr>
        <w:tabs>
          <w:tab w:val="left" w:pos="1080"/>
        </w:tabs>
        <w:ind w:left="540" w:hanging="540"/>
      </w:pPr>
      <w:r w:rsidRPr="003B5A30">
        <w:rPr>
          <w:b/>
          <w:i/>
        </w:rPr>
        <w:t>Common name:</w:t>
      </w:r>
      <w:r w:rsidRPr="00461A35">
        <w:t xml:space="preserve"> </w:t>
      </w:r>
      <w:r>
        <w:t>Protein glutaminase</w:t>
      </w:r>
    </w:p>
    <w:p w14:paraId="1ADA251A" w14:textId="77777777" w:rsidR="006B4015" w:rsidRDefault="006B4015" w:rsidP="006B4015">
      <w:pPr>
        <w:tabs>
          <w:tab w:val="left" w:pos="993"/>
        </w:tabs>
        <w:ind w:hanging="540"/>
      </w:pPr>
    </w:p>
    <w:p w14:paraId="3DCE0DD1" w14:textId="77777777" w:rsidR="006B4015" w:rsidRPr="00461A35" w:rsidRDefault="006B4015" w:rsidP="006B4015">
      <w:pPr>
        <w:tabs>
          <w:tab w:val="left" w:pos="993"/>
        </w:tabs>
      </w:pPr>
      <w:r w:rsidRPr="003B5A30">
        <w:rPr>
          <w:b/>
          <w:i/>
        </w:rPr>
        <w:t>Other names:</w:t>
      </w:r>
      <w:r>
        <w:t xml:space="preserve"> Protein-glutamine glutaminase, </w:t>
      </w:r>
      <w:r w:rsidRPr="00AB3BE3">
        <w:t>peptidoglutaminase II; glutaminyl-peptide glutaminase; destabilase; peptidylglutaminase II</w:t>
      </w:r>
    </w:p>
    <w:p w14:paraId="24F4EDAF" w14:textId="77777777" w:rsidR="006B4015" w:rsidRPr="00461A35" w:rsidRDefault="006B4015" w:rsidP="006B4015">
      <w:pPr>
        <w:pStyle w:val="ListParagraph"/>
        <w:tabs>
          <w:tab w:val="left" w:pos="993"/>
        </w:tabs>
        <w:ind w:left="0" w:hanging="90"/>
      </w:pPr>
    </w:p>
    <w:p w14:paraId="634F157C" w14:textId="77777777" w:rsidR="006B4015" w:rsidRPr="00461A35" w:rsidRDefault="006B4015" w:rsidP="004A0BC3">
      <w:pPr>
        <w:tabs>
          <w:tab w:val="left" w:pos="993"/>
        </w:tabs>
      </w:pPr>
      <w:r w:rsidRPr="00172511">
        <w:rPr>
          <w:b/>
          <w:i/>
        </w:rPr>
        <w:t>Systematic name:</w:t>
      </w:r>
      <w:r w:rsidRPr="00461A35">
        <w:t xml:space="preserve"> protein-L-glutamine amidohydrolase</w:t>
      </w:r>
    </w:p>
    <w:p w14:paraId="6BF817C0" w14:textId="77777777" w:rsidR="006B4015" w:rsidRPr="00461A35" w:rsidRDefault="006B4015" w:rsidP="006B4015">
      <w:pPr>
        <w:pStyle w:val="ListParagraph"/>
        <w:ind w:left="0" w:firstLine="207"/>
      </w:pPr>
    </w:p>
    <w:p w14:paraId="27B41B8F" w14:textId="77777777" w:rsidR="006B4015" w:rsidRDefault="006B4015" w:rsidP="006B4015">
      <w:pPr>
        <w:tabs>
          <w:tab w:val="left" w:pos="993"/>
        </w:tabs>
      </w:pPr>
      <w:r w:rsidRPr="003B5A30">
        <w:rPr>
          <w:b/>
          <w:i/>
        </w:rPr>
        <w:t>IUBMB</w:t>
      </w:r>
      <w:r w:rsidRPr="007F7C22">
        <w:rPr>
          <w:b/>
          <w:i/>
          <w:vertAlign w:val="superscript"/>
        </w:rPr>
        <w:footnoteReference w:id="2"/>
      </w:r>
      <w:r w:rsidRPr="003B5A30">
        <w:rPr>
          <w:b/>
          <w:i/>
        </w:rPr>
        <w:t xml:space="preserve"> Enzyme Nomenclature:</w:t>
      </w:r>
      <w:r>
        <w:t xml:space="preserve"> </w:t>
      </w:r>
      <w:r w:rsidRPr="00AB3BE3">
        <w:t>3.5.1.44</w:t>
      </w:r>
    </w:p>
    <w:p w14:paraId="43920BB3" w14:textId="77777777" w:rsidR="006B4015" w:rsidRDefault="006B4015" w:rsidP="006B4015">
      <w:pPr>
        <w:pStyle w:val="ListParagraph"/>
        <w:ind w:left="0"/>
      </w:pPr>
    </w:p>
    <w:p w14:paraId="54D7A832" w14:textId="77777777" w:rsidR="006B4015" w:rsidRPr="00461A35" w:rsidRDefault="006B4015" w:rsidP="006B4015">
      <w:pPr>
        <w:tabs>
          <w:tab w:val="left" w:pos="993"/>
        </w:tabs>
      </w:pPr>
      <w:r w:rsidRPr="003B5A30">
        <w:rPr>
          <w:b/>
          <w:i/>
        </w:rPr>
        <w:t>E.C. number:</w:t>
      </w:r>
      <w:r w:rsidRPr="00461A35">
        <w:t xml:space="preserve"> 3.5.1.44</w:t>
      </w:r>
    </w:p>
    <w:p w14:paraId="705C5BA8" w14:textId="77777777" w:rsidR="006B4015" w:rsidRPr="00461A35" w:rsidRDefault="006B4015" w:rsidP="006B4015">
      <w:pPr>
        <w:pStyle w:val="ListParagraph"/>
        <w:ind w:left="0"/>
      </w:pPr>
    </w:p>
    <w:p w14:paraId="22351F8A" w14:textId="77777777" w:rsidR="006B4015" w:rsidRDefault="006B4015" w:rsidP="006B4015">
      <w:pPr>
        <w:tabs>
          <w:tab w:val="left" w:pos="993"/>
        </w:tabs>
      </w:pPr>
      <w:r w:rsidRPr="003B5A30">
        <w:rPr>
          <w:b/>
          <w:i/>
        </w:rPr>
        <w:t>CAS registry number:</w:t>
      </w:r>
      <w:r w:rsidRPr="00461A35">
        <w:t xml:space="preserve"> 62213-11-0</w:t>
      </w:r>
    </w:p>
    <w:p w14:paraId="6B07AD00" w14:textId="77777777" w:rsidR="006B4015" w:rsidRDefault="006B4015" w:rsidP="006B4015">
      <w:pPr>
        <w:pStyle w:val="ListParagraph"/>
        <w:ind w:left="0"/>
      </w:pPr>
    </w:p>
    <w:p w14:paraId="2084B7DD" w14:textId="77777777" w:rsidR="006B4015" w:rsidRPr="003B5A30" w:rsidRDefault="006B4015" w:rsidP="006B4015">
      <w:pPr>
        <w:tabs>
          <w:tab w:val="left" w:pos="993"/>
        </w:tabs>
        <w:rPr>
          <w:b/>
          <w:i/>
        </w:rPr>
      </w:pPr>
      <w:r w:rsidRPr="003B5A30">
        <w:rPr>
          <w:b/>
          <w:i/>
        </w:rPr>
        <w:t xml:space="preserve">Reaction catalysed: </w:t>
      </w:r>
    </w:p>
    <w:p w14:paraId="1E8E4B44" w14:textId="77777777" w:rsidR="006B4015" w:rsidRDefault="006B4015" w:rsidP="006B4015">
      <w:pPr>
        <w:pStyle w:val="ListParagraph"/>
        <w:ind w:left="0" w:hanging="90"/>
      </w:pPr>
    </w:p>
    <w:p w14:paraId="53EA2919" w14:textId="77777777" w:rsidR="006B4015" w:rsidRPr="00461A35" w:rsidRDefault="006B4015" w:rsidP="006B4015">
      <w:pPr>
        <w:pStyle w:val="ListParagraph"/>
        <w:tabs>
          <w:tab w:val="left" w:pos="993"/>
        </w:tabs>
        <w:ind w:left="0"/>
      </w:pPr>
      <w:r w:rsidRPr="00AB3BE3">
        <w:t>Protein L-glutamine + H</w:t>
      </w:r>
      <w:r w:rsidRPr="00C87FFB">
        <w:rPr>
          <w:vertAlign w:val="subscript"/>
        </w:rPr>
        <w:t>2</w:t>
      </w:r>
      <w:r w:rsidRPr="00AB3BE3">
        <w:t>O &lt;=&gt; protein L-glutamate + NH</w:t>
      </w:r>
      <w:r w:rsidRPr="00C87FFB">
        <w:rPr>
          <w:vertAlign w:val="subscript"/>
        </w:rPr>
        <w:t>3</w:t>
      </w:r>
    </w:p>
    <w:p w14:paraId="5937832A" w14:textId="77777777" w:rsidR="006B4015" w:rsidRDefault="006B4015" w:rsidP="006B4015">
      <w:pPr>
        <w:pStyle w:val="ListParagraph"/>
        <w:ind w:left="0"/>
      </w:pPr>
    </w:p>
    <w:p w14:paraId="41AFCF5B" w14:textId="77777777" w:rsidR="006B4015" w:rsidRDefault="006B4015" w:rsidP="006B4015">
      <w:pPr>
        <w:pStyle w:val="ListParagraph"/>
        <w:ind w:left="0"/>
      </w:pPr>
      <w:r>
        <w:t>Protein glutaminase s</w:t>
      </w:r>
      <w:r w:rsidRPr="00AB3BE3">
        <w:t>pecific</w:t>
      </w:r>
      <w:r>
        <w:t>ally hydrolyse</w:t>
      </w:r>
      <w:r w:rsidRPr="00AB3BE3">
        <w:t>s the gamma-amide of glutamine substituted at the carboxyl position or both the alpha-amino and carboxyl positions, e.g., L-glutaminylglycine and L-phenylalanyl-L- glutaminylglycine.</w:t>
      </w:r>
    </w:p>
    <w:p w14:paraId="10B29B85" w14:textId="77777777" w:rsidR="006B4015" w:rsidRPr="00AB3BE3" w:rsidRDefault="006B4015" w:rsidP="006B4015">
      <w:pPr>
        <w:pStyle w:val="ListParagraph"/>
        <w:ind w:left="0" w:hanging="540"/>
      </w:pPr>
    </w:p>
    <w:p w14:paraId="2F04FF68" w14:textId="281DC404" w:rsidR="006B4015" w:rsidRPr="00461A35" w:rsidRDefault="006B4015" w:rsidP="006B4015">
      <w:pPr>
        <w:tabs>
          <w:tab w:val="left" w:pos="993"/>
        </w:tabs>
      </w:pPr>
      <w:r w:rsidRPr="00461A35">
        <w:t>The</w:t>
      </w:r>
      <w:r>
        <w:t xml:space="preserve"> Amano</w:t>
      </w:r>
      <w:r w:rsidRPr="00461A35">
        <w:t xml:space="preserve"> </w:t>
      </w:r>
      <w:r>
        <w:t>protein glutaminase</w:t>
      </w:r>
      <w:r w:rsidRPr="00461A35">
        <w:t xml:space="preserve"> is produced </w:t>
      </w:r>
      <w:r>
        <w:t>from</w:t>
      </w:r>
      <w:r w:rsidRPr="00461A35">
        <w:t xml:space="preserve"> </w:t>
      </w:r>
      <w:r w:rsidR="009867C8" w:rsidRPr="00C87FFB">
        <w:rPr>
          <w:i/>
        </w:rPr>
        <w:t>C</w:t>
      </w:r>
      <w:r w:rsidR="009867C8">
        <w:rPr>
          <w:i/>
        </w:rPr>
        <w:t>.</w:t>
      </w:r>
      <w:r w:rsidR="009867C8" w:rsidRPr="00C87FFB">
        <w:rPr>
          <w:i/>
        </w:rPr>
        <w:t xml:space="preserve"> </w:t>
      </w:r>
      <w:r w:rsidRPr="00C87FFB">
        <w:rPr>
          <w:i/>
        </w:rPr>
        <w:t>proteolyticum</w:t>
      </w:r>
      <w:r w:rsidRPr="00461A35">
        <w:t xml:space="preserve"> </w:t>
      </w:r>
      <w:r w:rsidR="003A7439">
        <w:t xml:space="preserve">strain </w:t>
      </w:r>
      <w:r w:rsidRPr="00461A35">
        <w:t xml:space="preserve">AE-PG. This strain is </w:t>
      </w:r>
      <w:r w:rsidR="00172511">
        <w:t xml:space="preserve">a </w:t>
      </w:r>
      <w:r w:rsidRPr="00461A35">
        <w:t>no</w:t>
      </w:r>
      <w:r>
        <w:t>n-</w:t>
      </w:r>
      <w:r w:rsidRPr="00461A35">
        <w:t>genetically modified</w:t>
      </w:r>
      <w:r>
        <w:t xml:space="preserve">, </w:t>
      </w:r>
      <w:r w:rsidRPr="00461A35">
        <w:t xml:space="preserve">chemically mutated production strain derived from the original strain (refer to section D.1 of Application). </w:t>
      </w:r>
      <w:r w:rsidR="009867C8" w:rsidRPr="00C87FFB">
        <w:rPr>
          <w:i/>
        </w:rPr>
        <w:t>C</w:t>
      </w:r>
      <w:r w:rsidR="009867C8">
        <w:rPr>
          <w:i/>
        </w:rPr>
        <w:t>.</w:t>
      </w:r>
      <w:r w:rsidR="009867C8" w:rsidRPr="00C87FFB">
        <w:rPr>
          <w:i/>
        </w:rPr>
        <w:t xml:space="preserve"> </w:t>
      </w:r>
      <w:r w:rsidRPr="00C87FFB">
        <w:rPr>
          <w:i/>
        </w:rPr>
        <w:t>proteolyticum</w:t>
      </w:r>
      <w:r w:rsidRPr="00461A35">
        <w:t xml:space="preserve"> has been used for many years for food or feedstuffs</w:t>
      </w:r>
      <w:r>
        <w:t>,</w:t>
      </w:r>
      <w:r w:rsidRPr="00461A35">
        <w:t xml:space="preserve"> or in the production of enzyme processing aids in France and </w:t>
      </w:r>
      <w:r>
        <w:t xml:space="preserve">the </w:t>
      </w:r>
      <w:r w:rsidRPr="00461A35">
        <w:t xml:space="preserve">U.S. </w:t>
      </w:r>
    </w:p>
    <w:p w14:paraId="6DC6F432" w14:textId="77777777" w:rsidR="006B4015" w:rsidRPr="00461A35" w:rsidRDefault="006B4015" w:rsidP="006B4015">
      <w:pPr>
        <w:ind w:hanging="540"/>
      </w:pPr>
    </w:p>
    <w:p w14:paraId="400AA757" w14:textId="6D4225E2" w:rsidR="00236F19" w:rsidRDefault="006B4015" w:rsidP="006B4015">
      <w:r w:rsidRPr="00461A35">
        <w:t xml:space="preserve">Furthermore, the </w:t>
      </w:r>
      <w:r>
        <w:t xml:space="preserve">Amano </w:t>
      </w:r>
      <w:r w:rsidRPr="00461A35">
        <w:t>product specification</w:t>
      </w:r>
      <w:r>
        <w:t>,</w:t>
      </w:r>
      <w:r w:rsidRPr="00461A35">
        <w:t xml:space="preserve"> along with extensive batch analysis of </w:t>
      </w:r>
      <w:r>
        <w:t>protein glutaminase,</w:t>
      </w:r>
      <w:r w:rsidRPr="00461A35">
        <w:t xml:space="preserve"> demonstrate the purity of the enzyme</w:t>
      </w:r>
      <w:r>
        <w:t xml:space="preserve"> </w:t>
      </w:r>
      <w:r w:rsidRPr="00461A35">
        <w:t>preparation</w:t>
      </w:r>
      <w:r>
        <w:t>. This</w:t>
      </w:r>
      <w:r w:rsidRPr="00461A35">
        <w:t xml:space="preserve"> includ</w:t>
      </w:r>
      <w:r>
        <w:t>es</w:t>
      </w:r>
      <w:r w:rsidRPr="00461A35">
        <w:t xml:space="preserve"> the absence of microbiological and metal contaminants, as well as the </w:t>
      </w:r>
      <w:r>
        <w:t xml:space="preserve">absence </w:t>
      </w:r>
      <w:r w:rsidRPr="00461A35">
        <w:t>of antibiotic activity</w:t>
      </w:r>
      <w:r w:rsidR="000D1963">
        <w:t xml:space="preserve"> (to comply with international enzyme specifications relating to antimicrobial resistance concerns)</w:t>
      </w:r>
      <w:r>
        <w:t>.</w:t>
      </w:r>
      <w:r w:rsidRPr="004C0555">
        <w:t xml:space="preserve"> </w:t>
      </w:r>
    </w:p>
    <w:p w14:paraId="2A076CAD" w14:textId="77777777" w:rsidR="00236F19" w:rsidRPr="00236F19" w:rsidRDefault="00236F19" w:rsidP="006B4015">
      <w:pPr>
        <w:keepNext/>
        <w:spacing w:before="240" w:after="240"/>
        <w:ind w:left="810" w:hanging="851"/>
        <w:outlineLvl w:val="1"/>
        <w:rPr>
          <w:rFonts w:cs="Arial"/>
          <w:b/>
          <w:bCs/>
          <w:sz w:val="28"/>
          <w:szCs w:val="22"/>
          <w:lang w:bidi="ar-SA"/>
        </w:rPr>
      </w:pPr>
      <w:bookmarkStart w:id="14" w:name="_Toc472668671"/>
      <w:bookmarkStart w:id="15" w:name="_Toc476908561"/>
      <w:bookmarkStart w:id="16" w:name="_Toc478375782"/>
      <w:bookmarkStart w:id="17" w:name="_Toc485893670"/>
      <w:bookmarkStart w:id="18" w:name="_Toc492456020"/>
      <w:r w:rsidRPr="00236F19">
        <w:rPr>
          <w:rFonts w:cs="Arial"/>
          <w:b/>
          <w:bCs/>
          <w:sz w:val="28"/>
          <w:szCs w:val="22"/>
          <w:lang w:bidi="ar-SA"/>
        </w:rPr>
        <w:t>2</w:t>
      </w:r>
      <w:r w:rsidRPr="00236F19">
        <w:rPr>
          <w:rFonts w:cs="Arial"/>
          <w:b/>
          <w:bCs/>
          <w:sz w:val="28"/>
          <w:szCs w:val="22"/>
          <w:lang w:bidi="ar-SA"/>
        </w:rPr>
        <w:tab/>
        <w:t>Food technology assessment</w:t>
      </w:r>
      <w:bookmarkEnd w:id="14"/>
      <w:bookmarkEnd w:id="15"/>
      <w:bookmarkEnd w:id="16"/>
      <w:bookmarkEnd w:id="17"/>
      <w:bookmarkEnd w:id="18"/>
    </w:p>
    <w:p w14:paraId="3A2A9A5E" w14:textId="4464A93F" w:rsidR="006B4015" w:rsidRPr="006B4015" w:rsidRDefault="006B4015" w:rsidP="006A726E">
      <w:pPr>
        <w:pStyle w:val="Heading3"/>
      </w:pPr>
      <w:bookmarkStart w:id="19" w:name="_Toc485893671"/>
      <w:bookmarkStart w:id="20" w:name="_Toc492456021"/>
      <w:r w:rsidRPr="006B4015">
        <w:t xml:space="preserve">2.1 </w:t>
      </w:r>
      <w:r w:rsidR="006A726E">
        <w:tab/>
      </w:r>
      <w:r w:rsidRPr="006B4015">
        <w:t>Technological purpose</w:t>
      </w:r>
      <w:bookmarkEnd w:id="19"/>
      <w:bookmarkEnd w:id="20"/>
    </w:p>
    <w:p w14:paraId="311831BB" w14:textId="19F29911" w:rsidR="006B4015" w:rsidRDefault="006B4015" w:rsidP="006B4015">
      <w:pPr>
        <w:tabs>
          <w:tab w:val="left" w:pos="1134"/>
        </w:tabs>
      </w:pPr>
      <w:r w:rsidRPr="00461A35">
        <w:t xml:space="preserve">The technical </w:t>
      </w:r>
      <w:r>
        <w:t>purpose</w:t>
      </w:r>
      <w:r w:rsidRPr="00461A35">
        <w:t xml:space="preserve"> of </w:t>
      </w:r>
      <w:r>
        <w:t>protein glutaminase</w:t>
      </w:r>
      <w:r w:rsidRPr="00461A35">
        <w:t xml:space="preserve"> is to cataly</w:t>
      </w:r>
      <w:r>
        <w:t>s</w:t>
      </w:r>
      <w:r w:rsidRPr="00461A35">
        <w:t xml:space="preserve">e the deamidation of glutaminyl residues in </w:t>
      </w:r>
      <w:r>
        <w:t>a</w:t>
      </w:r>
      <w:r w:rsidRPr="00461A35">
        <w:t xml:space="preserve"> substrate polypeptide into glutamyl residues</w:t>
      </w:r>
      <w:r>
        <w:t>, which also</w:t>
      </w:r>
      <w:r w:rsidRPr="00461A35">
        <w:t xml:space="preserve"> release</w:t>
      </w:r>
      <w:r>
        <w:t>s</w:t>
      </w:r>
      <w:r w:rsidRPr="00461A35">
        <w:t xml:space="preserve"> ammonia.</w:t>
      </w:r>
      <w:r w:rsidRPr="006A230D">
        <w:t xml:space="preserve"> </w:t>
      </w:r>
      <w:r w:rsidRPr="00A53410">
        <w:t>Th</w:t>
      </w:r>
      <w:r>
        <w:t xml:space="preserve">is deamidation </w:t>
      </w:r>
      <w:r w:rsidRPr="00A53410">
        <w:t>e</w:t>
      </w:r>
      <w:r>
        <w:t xml:space="preserve">nables </w:t>
      </w:r>
      <w:r w:rsidRPr="00A53410">
        <w:t>food manufacturers to increase the solubility of proteins</w:t>
      </w:r>
      <w:r>
        <w:t>, providing improvements in emulsification, foam stabilisation and gelling within a food matrix</w:t>
      </w:r>
      <w:r w:rsidRPr="00A53410">
        <w:t xml:space="preserve">. The improved functional properties </w:t>
      </w:r>
      <w:r>
        <w:t>are due to</w:t>
      </w:r>
      <w:r w:rsidRPr="00A53410">
        <w:t xml:space="preserve"> the negative charge of </w:t>
      </w:r>
      <w:r w:rsidR="00E5633A">
        <w:t xml:space="preserve">the </w:t>
      </w:r>
      <w:r w:rsidR="00E5633A" w:rsidRPr="00A53410">
        <w:t>glutam</w:t>
      </w:r>
      <w:r w:rsidR="00E5633A">
        <w:t>yl residue</w:t>
      </w:r>
      <w:r w:rsidR="00E5633A" w:rsidRPr="00A53410">
        <w:t xml:space="preserve"> </w:t>
      </w:r>
      <w:r w:rsidRPr="00A53410">
        <w:t xml:space="preserve">contributing </w:t>
      </w:r>
      <w:r>
        <w:t xml:space="preserve">to </w:t>
      </w:r>
      <w:r w:rsidRPr="00A53410">
        <w:t>the electrostatic repulsion of intermolecular proteins</w:t>
      </w:r>
      <w:r>
        <w:t>.</w:t>
      </w:r>
      <w:r w:rsidRPr="00FF587C">
        <w:t xml:space="preserve"> </w:t>
      </w:r>
      <w:r>
        <w:t>Protein glutaminase</w:t>
      </w:r>
      <w:r w:rsidRPr="00461A35">
        <w:t xml:space="preserve"> is an enzyme that acts on </w:t>
      </w:r>
      <w:r w:rsidR="00DF388B">
        <w:t xml:space="preserve">a </w:t>
      </w:r>
      <w:r w:rsidRPr="00461A35">
        <w:t>single substrate and would therefore not be expected to act on other constituents in the food.</w:t>
      </w:r>
    </w:p>
    <w:p w14:paraId="083894CD" w14:textId="77777777" w:rsidR="006B4015" w:rsidRDefault="006B4015" w:rsidP="006B4015">
      <w:pPr>
        <w:tabs>
          <w:tab w:val="left" w:pos="1134"/>
        </w:tabs>
      </w:pPr>
    </w:p>
    <w:p w14:paraId="7DB122FB" w14:textId="0406F464" w:rsidR="006B4015" w:rsidRDefault="006B4015" w:rsidP="006B4015">
      <w:pPr>
        <w:tabs>
          <w:tab w:val="left" w:pos="1134"/>
        </w:tabs>
      </w:pPr>
      <w:r>
        <w:t>Amano provided information demonstrating that the</w:t>
      </w:r>
      <w:r w:rsidRPr="00461A35">
        <w:t xml:space="preserve"> optimum pH range of </w:t>
      </w:r>
      <w:r w:rsidR="00D965B5">
        <w:t xml:space="preserve">the </w:t>
      </w:r>
      <w:r>
        <w:t>protein glutaminase</w:t>
      </w:r>
      <w:r w:rsidRPr="00461A35">
        <w:t xml:space="preserve"> </w:t>
      </w:r>
      <w:r>
        <w:t>d</w:t>
      </w:r>
      <w:r w:rsidRPr="00461A35">
        <w:t xml:space="preserve">eamidating activity is 5.0 – 7.0 </w:t>
      </w:r>
      <w:r>
        <w:t xml:space="preserve">as shown in </w:t>
      </w:r>
      <w:r w:rsidR="00B27CDB">
        <w:t xml:space="preserve">Figure </w:t>
      </w:r>
      <w:r>
        <w:t>1.</w:t>
      </w:r>
      <w:r w:rsidRPr="006A230D">
        <w:t xml:space="preserve"> </w:t>
      </w:r>
      <w:r w:rsidRPr="00461A35">
        <w:t>A</w:t>
      </w:r>
      <w:r>
        <w:t>mano provided the</w:t>
      </w:r>
      <w:r w:rsidRPr="00461A35">
        <w:t xml:space="preserve"> analytical method for the detection and quant</w:t>
      </w:r>
      <w:r>
        <w:t xml:space="preserve">ification of enzyme activity </w:t>
      </w:r>
      <w:r w:rsidRPr="00461A35">
        <w:t xml:space="preserve">in Appendix A </w:t>
      </w:r>
      <w:r>
        <w:t>–</w:t>
      </w:r>
      <w:r w:rsidRPr="00461A35">
        <w:t xml:space="preserve"> 1</w:t>
      </w:r>
      <w:r>
        <w:t xml:space="preserve"> of the Application.</w:t>
      </w:r>
    </w:p>
    <w:p w14:paraId="2EA2E171" w14:textId="77777777" w:rsidR="006B4015" w:rsidRDefault="006B4015" w:rsidP="006B4015">
      <w:pPr>
        <w:widowControl/>
      </w:pPr>
      <w:r>
        <w:br w:type="page"/>
      </w:r>
    </w:p>
    <w:p w14:paraId="56110AA8" w14:textId="388C6D78" w:rsidR="006B4015" w:rsidRDefault="006B4015" w:rsidP="006C6646">
      <w:pPr>
        <w:pStyle w:val="FSFigureTitle"/>
      </w:pPr>
      <w:r>
        <w:rPr>
          <w:noProof/>
          <w:lang w:eastAsia="en-GB" w:bidi="ar-SA"/>
        </w:rPr>
        <w:lastRenderedPageBreak/>
        <w:drawing>
          <wp:inline distT="0" distB="0" distL="0" distR="0" wp14:anchorId="1D5F8B8D" wp14:editId="6DA2DE79">
            <wp:extent cx="3339548" cy="3101009"/>
            <wp:effectExtent l="0" t="0" r="1333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2D32B9" w14:textId="77777777" w:rsidR="006B4015" w:rsidRDefault="006B4015" w:rsidP="006B4015">
      <w:pPr>
        <w:tabs>
          <w:tab w:val="left" w:pos="1134"/>
        </w:tabs>
        <w:ind w:left="567"/>
      </w:pPr>
    </w:p>
    <w:p w14:paraId="344017DC" w14:textId="34412FBA" w:rsidR="001756E5" w:rsidRDefault="001756E5" w:rsidP="006B4015">
      <w:pPr>
        <w:tabs>
          <w:tab w:val="left" w:pos="1134"/>
        </w:tabs>
      </w:pPr>
      <w:r w:rsidRPr="007041B3">
        <w:rPr>
          <w:b/>
          <w:i/>
        </w:rPr>
        <w:t>Figure 1</w:t>
      </w:r>
      <w:r w:rsidR="00B27CDB">
        <w:rPr>
          <w:i/>
        </w:rPr>
        <w:t xml:space="preserve">. </w:t>
      </w:r>
      <w:r w:rsidRPr="00480E93">
        <w:rPr>
          <w:i/>
        </w:rPr>
        <w:t xml:space="preserve">Effect of pH on </w:t>
      </w:r>
      <w:r>
        <w:rPr>
          <w:i/>
        </w:rPr>
        <w:t>e</w:t>
      </w:r>
      <w:r w:rsidRPr="00480E93">
        <w:rPr>
          <w:i/>
        </w:rPr>
        <w:t xml:space="preserve">nzyme </w:t>
      </w:r>
      <w:r>
        <w:rPr>
          <w:i/>
        </w:rPr>
        <w:t>a</w:t>
      </w:r>
      <w:r w:rsidRPr="00480E93">
        <w:rPr>
          <w:i/>
        </w:rPr>
        <w:t>ctivity</w:t>
      </w:r>
      <w:r w:rsidRPr="00461A35">
        <w:t xml:space="preserve"> </w:t>
      </w:r>
    </w:p>
    <w:p w14:paraId="48642389" w14:textId="77777777" w:rsidR="001756E5" w:rsidRDefault="001756E5" w:rsidP="006B4015">
      <w:pPr>
        <w:tabs>
          <w:tab w:val="left" w:pos="1134"/>
        </w:tabs>
      </w:pPr>
    </w:p>
    <w:p w14:paraId="3BBC1824" w14:textId="19E02E7D" w:rsidR="006B4015" w:rsidRDefault="006B4015" w:rsidP="006B4015">
      <w:pPr>
        <w:tabs>
          <w:tab w:val="left" w:pos="1134"/>
        </w:tabs>
      </w:pPr>
      <w:r w:rsidRPr="00461A35">
        <w:t xml:space="preserve">The enzyme preparation </w:t>
      </w:r>
      <w:r w:rsidR="00D965B5">
        <w:t>is</w:t>
      </w:r>
      <w:r w:rsidRPr="00461A35">
        <w:t xml:space="preserve"> inactivated by </w:t>
      </w:r>
      <w:r>
        <w:t xml:space="preserve">adjusting </w:t>
      </w:r>
      <w:r w:rsidR="00D965B5" w:rsidRPr="00461A35">
        <w:t xml:space="preserve">either </w:t>
      </w:r>
      <w:r w:rsidRPr="00461A35">
        <w:t xml:space="preserve">temperature or pH </w:t>
      </w:r>
      <w:r>
        <w:t>value. The</w:t>
      </w:r>
      <w:r w:rsidRPr="00461A35">
        <w:t xml:space="preserve"> optimum temperature </w:t>
      </w:r>
      <w:r>
        <w:t>for protein glutaminase functionality</w:t>
      </w:r>
      <w:r w:rsidRPr="00461A35">
        <w:t xml:space="preserve"> is 50 - 60°C</w:t>
      </w:r>
      <w:r>
        <w:t xml:space="preserve">, before </w:t>
      </w:r>
      <w:r w:rsidRPr="00461A35">
        <w:t>inactivat</w:t>
      </w:r>
      <w:r>
        <w:t>ion occurs above</w:t>
      </w:r>
      <w:r w:rsidRPr="00461A35">
        <w:t xml:space="preserve"> 70°C</w:t>
      </w:r>
      <w:r>
        <w:t xml:space="preserve"> (Figure 2).</w:t>
      </w:r>
    </w:p>
    <w:p w14:paraId="39F6E65C" w14:textId="77777777" w:rsidR="006B4015" w:rsidRDefault="006B4015" w:rsidP="006B4015">
      <w:pPr>
        <w:tabs>
          <w:tab w:val="left" w:pos="1134"/>
        </w:tabs>
        <w:ind w:left="567"/>
      </w:pPr>
    </w:p>
    <w:p w14:paraId="4A93808C" w14:textId="77777777" w:rsidR="006B4015" w:rsidRDefault="006B4015" w:rsidP="008D178E">
      <w:pPr>
        <w:tabs>
          <w:tab w:val="left" w:pos="1134"/>
        </w:tabs>
      </w:pPr>
      <w:r>
        <w:rPr>
          <w:noProof/>
          <w:lang w:eastAsia="en-GB" w:bidi="ar-SA"/>
        </w:rPr>
        <w:drawing>
          <wp:inline distT="0" distB="0" distL="0" distR="0" wp14:anchorId="4C36388F" wp14:editId="7F41906B">
            <wp:extent cx="3315694" cy="3315694"/>
            <wp:effectExtent l="0" t="0" r="18415"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861717" w14:textId="77777777" w:rsidR="00B27CDB" w:rsidRDefault="00B27CDB" w:rsidP="001756E5">
      <w:pPr>
        <w:pStyle w:val="FSFigureTitle"/>
        <w:rPr>
          <w:b/>
        </w:rPr>
      </w:pPr>
    </w:p>
    <w:p w14:paraId="20725047" w14:textId="510D04BE" w:rsidR="001756E5" w:rsidRPr="00027F1B" w:rsidRDefault="001756E5" w:rsidP="001756E5">
      <w:pPr>
        <w:pStyle w:val="FSFigureTitle"/>
      </w:pPr>
      <w:r w:rsidRPr="007041B3">
        <w:rPr>
          <w:b/>
        </w:rPr>
        <w:t xml:space="preserve">Figure </w:t>
      </w:r>
      <w:r>
        <w:rPr>
          <w:b/>
        </w:rPr>
        <w:t>2</w:t>
      </w:r>
      <w:r w:rsidR="00B27CDB">
        <w:t xml:space="preserve">. </w:t>
      </w:r>
      <w:r w:rsidRPr="00027F1B">
        <w:t xml:space="preserve">Effect of </w:t>
      </w:r>
      <w:r>
        <w:t>h</w:t>
      </w:r>
      <w:r w:rsidRPr="00027F1B">
        <w:t xml:space="preserve">eat on </w:t>
      </w:r>
      <w:r>
        <w:t>e</w:t>
      </w:r>
      <w:r w:rsidRPr="00027F1B">
        <w:t xml:space="preserve">nzyme </w:t>
      </w:r>
      <w:r>
        <w:t>a</w:t>
      </w:r>
      <w:r w:rsidRPr="00027F1B">
        <w:t>ctivity</w:t>
      </w:r>
    </w:p>
    <w:p w14:paraId="17B76962" w14:textId="77777777" w:rsidR="006B4015" w:rsidRDefault="006B4015" w:rsidP="006B4015">
      <w:pPr>
        <w:tabs>
          <w:tab w:val="left" w:pos="1134"/>
        </w:tabs>
      </w:pPr>
    </w:p>
    <w:p w14:paraId="5F220190" w14:textId="1FA5EE8C" w:rsidR="00236F19" w:rsidRDefault="006B4015" w:rsidP="001756E5">
      <w:pPr>
        <w:widowControl/>
        <w:tabs>
          <w:tab w:val="left" w:pos="1134"/>
        </w:tabs>
      </w:pPr>
      <w:r w:rsidRPr="0002429F">
        <w:t xml:space="preserve">Protein glutaminase meets the definition of a processing aid set out in the Code, which is that it performs a technological </w:t>
      </w:r>
      <w:r>
        <w:t>function</w:t>
      </w:r>
      <w:r w:rsidRPr="0002429F">
        <w:t xml:space="preserve"> </w:t>
      </w:r>
      <w:r>
        <w:t>during</w:t>
      </w:r>
      <w:r w:rsidRPr="0002429F">
        <w:t xml:space="preserve"> processing and does not perform a technological </w:t>
      </w:r>
      <w:r>
        <w:t>function</w:t>
      </w:r>
      <w:r w:rsidRPr="0002429F">
        <w:t xml:space="preserve"> in </w:t>
      </w:r>
      <w:r>
        <w:t>the</w:t>
      </w:r>
      <w:r w:rsidRPr="0002429F">
        <w:t xml:space="preserve"> food for sale.</w:t>
      </w:r>
    </w:p>
    <w:p w14:paraId="32DC6FEF" w14:textId="1B0208F5" w:rsidR="00857CD5" w:rsidRPr="00857CD5" w:rsidRDefault="00857CD5" w:rsidP="006A726E">
      <w:pPr>
        <w:pStyle w:val="Heading3"/>
      </w:pPr>
      <w:bookmarkStart w:id="21" w:name="_Toc485893672"/>
      <w:bookmarkStart w:id="22" w:name="_Toc492456022"/>
      <w:r w:rsidRPr="00857CD5">
        <w:lastRenderedPageBreak/>
        <w:t xml:space="preserve">2.2 </w:t>
      </w:r>
      <w:r w:rsidR="00361F29">
        <w:tab/>
      </w:r>
      <w:r w:rsidRPr="00857CD5">
        <w:t>Usage rates</w:t>
      </w:r>
      <w:bookmarkEnd w:id="21"/>
      <w:bookmarkEnd w:id="22"/>
    </w:p>
    <w:p w14:paraId="4DBEEC48" w14:textId="6030F1E3" w:rsidR="00857CD5" w:rsidRPr="00857CD5" w:rsidRDefault="00857CD5" w:rsidP="00857CD5">
      <w:r w:rsidRPr="00857CD5">
        <w:t>Food enzyme</w:t>
      </w:r>
      <w:r w:rsidR="007943CA">
        <w:t>s</w:t>
      </w:r>
      <w:r w:rsidRPr="00857CD5">
        <w:t xml:space="preserve"> are used by food manufacturers according to the </w:t>
      </w:r>
      <w:r w:rsidRPr="00857CD5">
        <w:rPr>
          <w:i/>
        </w:rPr>
        <w:t xml:space="preserve">Quantum Satis </w:t>
      </w:r>
      <w:r w:rsidRPr="00857CD5">
        <w:t xml:space="preserve">principle, which means that food manufacturers will typically fine-tune the usage rates based on a recommendation by the enzyme supplier. The Amano protein glutaminase enzyme powder is blended with </w:t>
      </w:r>
      <w:r w:rsidR="00D965B5">
        <w:t>Cassava</w:t>
      </w:r>
      <w:r w:rsidRPr="00857CD5">
        <w:t xml:space="preserve"> dextrin to form an enzyme “preparation”</w:t>
      </w:r>
      <w:r w:rsidR="00D965B5">
        <w:t>. This preparation is</w:t>
      </w:r>
      <w:r w:rsidRPr="00857CD5">
        <w:t xml:space="preserve"> available in different grades, depending on the ratio of enzyme powder to dextrin</w:t>
      </w:r>
      <w:r w:rsidR="00D965B5" w:rsidRPr="00857CD5">
        <w:t xml:space="preserve">. </w:t>
      </w:r>
      <w:r w:rsidRPr="00857CD5">
        <w:t>A 100% Protein glutaminase Enzyme Powder is also available. An example of one grade (75%) is as follows (w/w):</w:t>
      </w:r>
    </w:p>
    <w:p w14:paraId="307B526F" w14:textId="77777777" w:rsidR="00857CD5" w:rsidRPr="00857CD5" w:rsidRDefault="00857CD5" w:rsidP="00857CD5"/>
    <w:p w14:paraId="061642B8" w14:textId="77777777" w:rsidR="00857CD5" w:rsidRPr="00857CD5" w:rsidRDefault="00857CD5" w:rsidP="00857CD5">
      <w:r w:rsidRPr="00857CD5">
        <w:tab/>
      </w:r>
      <w:r w:rsidRPr="00857CD5">
        <w:tab/>
      </w:r>
      <w:r w:rsidRPr="00857CD5">
        <w:tab/>
      </w:r>
      <w:r w:rsidRPr="00857CD5">
        <w:tab/>
      </w:r>
      <w:r w:rsidRPr="00857CD5">
        <w:tab/>
        <w:t>Protein glutaminase         75%</w:t>
      </w:r>
    </w:p>
    <w:p w14:paraId="1F0A50E2" w14:textId="07CAACD9" w:rsidR="00857CD5" w:rsidRPr="00857CD5" w:rsidRDefault="00857CD5" w:rsidP="00857CD5">
      <w:pPr>
        <w:rPr>
          <w:u w:val="single"/>
        </w:rPr>
      </w:pPr>
      <w:r w:rsidRPr="00857CD5">
        <w:tab/>
      </w:r>
      <w:r w:rsidRPr="00857CD5">
        <w:tab/>
      </w:r>
      <w:r w:rsidRPr="00857CD5">
        <w:tab/>
      </w:r>
      <w:r w:rsidRPr="00857CD5">
        <w:tab/>
      </w:r>
      <w:r w:rsidRPr="00857CD5">
        <w:tab/>
      </w:r>
      <w:r w:rsidR="001E2390">
        <w:rPr>
          <w:u w:val="single"/>
        </w:rPr>
        <w:t>Cassava</w:t>
      </w:r>
      <w:r w:rsidRPr="00857CD5">
        <w:rPr>
          <w:u w:val="single"/>
        </w:rPr>
        <w:t xml:space="preserve"> dextrin           </w:t>
      </w:r>
      <w:r w:rsidR="001E2390">
        <w:rPr>
          <w:u w:val="single"/>
        </w:rPr>
        <w:t xml:space="preserve">   </w:t>
      </w:r>
      <w:r w:rsidRPr="00857CD5">
        <w:rPr>
          <w:u w:val="single"/>
        </w:rPr>
        <w:t xml:space="preserve"> 25%</w:t>
      </w:r>
    </w:p>
    <w:p w14:paraId="69CD9EE1" w14:textId="77777777" w:rsidR="00857CD5" w:rsidRPr="00857CD5" w:rsidRDefault="00857CD5" w:rsidP="00857CD5">
      <w:r w:rsidRPr="00857CD5">
        <w:tab/>
      </w:r>
      <w:r w:rsidRPr="00857CD5">
        <w:tab/>
      </w:r>
      <w:r w:rsidRPr="00857CD5">
        <w:tab/>
      </w:r>
      <w:r w:rsidRPr="00857CD5">
        <w:tab/>
      </w:r>
      <w:r w:rsidRPr="00857CD5">
        <w:tab/>
        <w:t>Enzyme “preparation”     100%</w:t>
      </w:r>
    </w:p>
    <w:p w14:paraId="10550119" w14:textId="77777777" w:rsidR="00857CD5" w:rsidRPr="00857CD5" w:rsidRDefault="00857CD5" w:rsidP="00857CD5"/>
    <w:p w14:paraId="2817CA04" w14:textId="77777777" w:rsidR="00857CD5" w:rsidRPr="00857CD5" w:rsidRDefault="00857CD5" w:rsidP="00857CD5">
      <w:r w:rsidRPr="00857CD5">
        <w:t>Recommended usage rates for Amano’s 75% grade, enzyme “preparation” for various food manufacturing processes are provided in Table 1.</w:t>
      </w:r>
    </w:p>
    <w:p w14:paraId="33ADBC31" w14:textId="77777777" w:rsidR="00857CD5" w:rsidRPr="00857CD5" w:rsidRDefault="00857CD5" w:rsidP="00857CD5"/>
    <w:p w14:paraId="2B197B3E" w14:textId="492F05E2" w:rsidR="00857CD5" w:rsidRPr="00857CD5" w:rsidRDefault="00857CD5" w:rsidP="006C6646">
      <w:pPr>
        <w:pStyle w:val="FSTableTitle"/>
      </w:pPr>
      <w:r w:rsidRPr="00857CD5">
        <w:t>Table 1</w:t>
      </w:r>
      <w:r w:rsidRPr="00857CD5">
        <w:tab/>
        <w:t>Recommended enzyme “preparation” usage rates for 75% grade</w:t>
      </w:r>
    </w:p>
    <w:tbl>
      <w:tblPr>
        <w:tblW w:w="5000" w:type="pct"/>
        <w:tblLook w:val="04A0" w:firstRow="1" w:lastRow="0" w:firstColumn="1" w:lastColumn="0" w:noHBand="0" w:noVBand="1"/>
      </w:tblPr>
      <w:tblGrid>
        <w:gridCol w:w="3531"/>
        <w:gridCol w:w="2414"/>
        <w:gridCol w:w="963"/>
        <w:gridCol w:w="854"/>
        <w:gridCol w:w="109"/>
        <w:gridCol w:w="1415"/>
      </w:tblGrid>
      <w:tr w:rsidR="00857CD5" w:rsidRPr="00857CD5" w14:paraId="2415F1C8" w14:textId="77777777" w:rsidTr="001756E5">
        <w:trPr>
          <w:trHeight w:val="540"/>
        </w:trPr>
        <w:tc>
          <w:tcPr>
            <w:tcW w:w="1401"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0B99D264" w14:textId="77777777" w:rsidR="00857CD5" w:rsidRPr="00857CD5" w:rsidRDefault="00857CD5" w:rsidP="00857CD5">
            <w:pPr>
              <w:rPr>
                <w:b/>
                <w:bCs/>
                <w:lang w:val="en-NZ"/>
              </w:rPr>
            </w:pPr>
            <w:r w:rsidRPr="00857CD5">
              <w:rPr>
                <w:b/>
                <w:bCs/>
                <w:lang w:val="en-NZ"/>
              </w:rPr>
              <w:t>Application</w:t>
            </w:r>
          </w:p>
        </w:tc>
        <w:tc>
          <w:tcPr>
            <w:tcW w:w="1645"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27290A24" w14:textId="77777777" w:rsidR="00857CD5" w:rsidRPr="00857CD5" w:rsidRDefault="00857CD5" w:rsidP="00857CD5">
            <w:pPr>
              <w:rPr>
                <w:b/>
                <w:bCs/>
                <w:lang w:val="en-NZ"/>
              </w:rPr>
            </w:pPr>
            <w:r w:rsidRPr="00857CD5">
              <w:rPr>
                <w:b/>
                <w:bCs/>
                <w:lang w:val="en-NZ"/>
              </w:rPr>
              <w:t>Raw material (RM)</w:t>
            </w:r>
          </w:p>
        </w:tc>
        <w:tc>
          <w:tcPr>
            <w:tcW w:w="1954" w:type="pct"/>
            <w:gridSpan w:val="4"/>
            <w:tcBorders>
              <w:top w:val="single" w:sz="4" w:space="0" w:color="auto"/>
              <w:left w:val="nil"/>
              <w:bottom w:val="single" w:sz="4" w:space="0" w:color="auto"/>
              <w:right w:val="single" w:sz="4" w:space="0" w:color="auto"/>
            </w:tcBorders>
            <w:shd w:val="clear" w:color="000000" w:fill="D9D9D9"/>
            <w:vAlign w:val="center"/>
            <w:hideMark/>
          </w:tcPr>
          <w:p w14:paraId="6C76C950" w14:textId="77777777" w:rsidR="00857CD5" w:rsidRPr="00857CD5" w:rsidRDefault="00857CD5" w:rsidP="00857CD5">
            <w:pPr>
              <w:rPr>
                <w:b/>
                <w:bCs/>
                <w:lang w:val="en-NZ"/>
              </w:rPr>
            </w:pPr>
            <w:r w:rsidRPr="00857CD5">
              <w:rPr>
                <w:b/>
                <w:bCs/>
                <w:lang w:val="en-NZ"/>
              </w:rPr>
              <w:t>Recommended usage rate (% w/w)</w:t>
            </w:r>
          </w:p>
        </w:tc>
      </w:tr>
      <w:tr w:rsidR="00857CD5" w:rsidRPr="00857CD5" w14:paraId="7A4E4237" w14:textId="77777777" w:rsidTr="001756E5">
        <w:trPr>
          <w:trHeight w:val="540"/>
        </w:trPr>
        <w:tc>
          <w:tcPr>
            <w:tcW w:w="1401" w:type="pct"/>
            <w:vMerge/>
            <w:tcBorders>
              <w:top w:val="nil"/>
              <w:left w:val="single" w:sz="4" w:space="0" w:color="auto"/>
              <w:bottom w:val="single" w:sz="4" w:space="0" w:color="000000"/>
              <w:right w:val="single" w:sz="4" w:space="0" w:color="auto"/>
            </w:tcBorders>
            <w:vAlign w:val="center"/>
            <w:hideMark/>
          </w:tcPr>
          <w:p w14:paraId="78E958E6" w14:textId="77777777" w:rsidR="00857CD5" w:rsidRPr="00857CD5" w:rsidRDefault="00857CD5" w:rsidP="00857CD5">
            <w:pPr>
              <w:rPr>
                <w:b/>
                <w:bCs/>
                <w:lang w:val="en-NZ"/>
              </w:rPr>
            </w:pPr>
          </w:p>
        </w:tc>
        <w:tc>
          <w:tcPr>
            <w:tcW w:w="1645" w:type="pct"/>
            <w:vMerge/>
            <w:tcBorders>
              <w:top w:val="nil"/>
              <w:left w:val="single" w:sz="4" w:space="0" w:color="auto"/>
              <w:bottom w:val="single" w:sz="4" w:space="0" w:color="000000"/>
              <w:right w:val="single" w:sz="4" w:space="0" w:color="auto"/>
            </w:tcBorders>
            <w:vAlign w:val="center"/>
            <w:hideMark/>
          </w:tcPr>
          <w:p w14:paraId="2B046831" w14:textId="77777777" w:rsidR="00857CD5" w:rsidRPr="00857CD5" w:rsidRDefault="00857CD5" w:rsidP="00857CD5">
            <w:pPr>
              <w:rPr>
                <w:b/>
                <w:bCs/>
                <w:lang w:val="en-NZ"/>
              </w:rPr>
            </w:pPr>
          </w:p>
        </w:tc>
        <w:tc>
          <w:tcPr>
            <w:tcW w:w="562" w:type="pct"/>
            <w:tcBorders>
              <w:top w:val="single" w:sz="4" w:space="0" w:color="auto"/>
              <w:left w:val="nil"/>
              <w:bottom w:val="single" w:sz="4" w:space="0" w:color="auto"/>
              <w:right w:val="nil"/>
            </w:tcBorders>
            <w:shd w:val="clear" w:color="000000" w:fill="D9D9D9"/>
            <w:vAlign w:val="center"/>
            <w:hideMark/>
          </w:tcPr>
          <w:p w14:paraId="631DE45C" w14:textId="77777777" w:rsidR="00857CD5" w:rsidRPr="00857CD5" w:rsidRDefault="00857CD5" w:rsidP="00857CD5">
            <w:pPr>
              <w:rPr>
                <w:b/>
                <w:bCs/>
                <w:lang w:val="en-NZ"/>
              </w:rPr>
            </w:pPr>
            <w:r w:rsidRPr="00857CD5">
              <w:rPr>
                <w:b/>
                <w:bCs/>
                <w:lang w:val="en-NZ"/>
              </w:rPr>
              <w:t>Min</w:t>
            </w:r>
          </w:p>
        </w:tc>
        <w:tc>
          <w:tcPr>
            <w:tcW w:w="616" w:type="pct"/>
            <w:tcBorders>
              <w:top w:val="single" w:sz="4" w:space="0" w:color="auto"/>
              <w:left w:val="single" w:sz="4" w:space="0" w:color="auto"/>
              <w:bottom w:val="nil"/>
              <w:right w:val="nil"/>
            </w:tcBorders>
            <w:shd w:val="clear" w:color="000000" w:fill="D9D9D9"/>
            <w:vAlign w:val="center"/>
            <w:hideMark/>
          </w:tcPr>
          <w:p w14:paraId="0CCE7EFB" w14:textId="77777777" w:rsidR="00857CD5" w:rsidRPr="00857CD5" w:rsidRDefault="00857CD5" w:rsidP="00857CD5">
            <w:pPr>
              <w:rPr>
                <w:b/>
                <w:bCs/>
                <w:lang w:val="en-NZ"/>
              </w:rPr>
            </w:pPr>
            <w:r w:rsidRPr="00857CD5">
              <w:rPr>
                <w:b/>
                <w:bCs/>
                <w:lang w:val="en-NZ"/>
              </w:rPr>
              <w:t>Max</w:t>
            </w:r>
          </w:p>
        </w:tc>
        <w:tc>
          <w:tcPr>
            <w:tcW w:w="777" w:type="pct"/>
            <w:gridSpan w:val="2"/>
            <w:tcBorders>
              <w:top w:val="single" w:sz="4" w:space="0" w:color="auto"/>
              <w:left w:val="nil"/>
              <w:bottom w:val="nil"/>
              <w:right w:val="single" w:sz="4" w:space="0" w:color="auto"/>
            </w:tcBorders>
            <w:shd w:val="clear" w:color="000000" w:fill="D9D9D9"/>
            <w:vAlign w:val="center"/>
            <w:hideMark/>
          </w:tcPr>
          <w:p w14:paraId="68EA29B0" w14:textId="77777777" w:rsidR="00857CD5" w:rsidRPr="00857CD5" w:rsidRDefault="00857CD5" w:rsidP="00857CD5">
            <w:pPr>
              <w:rPr>
                <w:b/>
                <w:bCs/>
                <w:lang w:val="en-NZ"/>
              </w:rPr>
            </w:pPr>
            <w:r w:rsidRPr="00857CD5">
              <w:rPr>
                <w:b/>
                <w:bCs/>
                <w:lang w:val="en-NZ"/>
              </w:rPr>
              <w:t> </w:t>
            </w:r>
          </w:p>
        </w:tc>
      </w:tr>
      <w:tr w:rsidR="00857CD5" w:rsidRPr="00857CD5" w14:paraId="17D09A1C" w14:textId="77777777" w:rsidTr="001756E5">
        <w:trPr>
          <w:trHeight w:val="615"/>
        </w:trPr>
        <w:tc>
          <w:tcPr>
            <w:tcW w:w="1401" w:type="pct"/>
            <w:tcBorders>
              <w:top w:val="nil"/>
              <w:left w:val="single" w:sz="4" w:space="0" w:color="auto"/>
              <w:bottom w:val="single" w:sz="4" w:space="0" w:color="auto"/>
              <w:right w:val="single" w:sz="4" w:space="0" w:color="auto"/>
            </w:tcBorders>
            <w:shd w:val="clear" w:color="auto" w:fill="auto"/>
            <w:noWrap/>
            <w:vAlign w:val="center"/>
            <w:hideMark/>
          </w:tcPr>
          <w:p w14:paraId="274F2CCC" w14:textId="77777777" w:rsidR="00857CD5" w:rsidRPr="00857CD5" w:rsidRDefault="00857CD5" w:rsidP="00857CD5">
            <w:pPr>
              <w:rPr>
                <w:lang w:val="en-NZ"/>
              </w:rPr>
            </w:pPr>
            <w:r w:rsidRPr="00857CD5">
              <w:rPr>
                <w:lang w:val="en-NZ"/>
              </w:rPr>
              <w:t>Baking and pasta / noodle making</w:t>
            </w:r>
          </w:p>
        </w:tc>
        <w:tc>
          <w:tcPr>
            <w:tcW w:w="1645" w:type="pct"/>
            <w:tcBorders>
              <w:top w:val="nil"/>
              <w:left w:val="nil"/>
              <w:bottom w:val="single" w:sz="4" w:space="0" w:color="auto"/>
              <w:right w:val="single" w:sz="4" w:space="0" w:color="auto"/>
            </w:tcBorders>
            <w:shd w:val="clear" w:color="auto" w:fill="auto"/>
            <w:noWrap/>
            <w:vAlign w:val="center"/>
            <w:hideMark/>
          </w:tcPr>
          <w:p w14:paraId="2376487B" w14:textId="77777777" w:rsidR="00857CD5" w:rsidRPr="00857CD5" w:rsidRDefault="00857CD5" w:rsidP="00857CD5">
            <w:pPr>
              <w:rPr>
                <w:lang w:val="en-NZ"/>
              </w:rPr>
            </w:pPr>
            <w:r w:rsidRPr="00857CD5">
              <w:rPr>
                <w:lang w:val="en-NZ"/>
              </w:rPr>
              <w:t>Flour</w:t>
            </w:r>
          </w:p>
        </w:tc>
        <w:tc>
          <w:tcPr>
            <w:tcW w:w="562" w:type="pct"/>
            <w:tcBorders>
              <w:top w:val="nil"/>
              <w:left w:val="nil"/>
              <w:bottom w:val="single" w:sz="4" w:space="0" w:color="auto"/>
              <w:right w:val="nil"/>
            </w:tcBorders>
            <w:shd w:val="clear" w:color="auto" w:fill="auto"/>
            <w:noWrap/>
            <w:vAlign w:val="center"/>
            <w:hideMark/>
          </w:tcPr>
          <w:p w14:paraId="0BC75D45" w14:textId="77777777" w:rsidR="00857CD5" w:rsidRPr="00857CD5" w:rsidRDefault="00857CD5" w:rsidP="00857CD5">
            <w:pPr>
              <w:rPr>
                <w:lang w:val="en-NZ"/>
              </w:rPr>
            </w:pPr>
            <w:r w:rsidRPr="00857CD5">
              <w:rPr>
                <w:lang w:val="en-NZ"/>
              </w:rPr>
              <w:t>0.017%</w:t>
            </w:r>
          </w:p>
        </w:tc>
        <w:tc>
          <w:tcPr>
            <w:tcW w:w="695" w:type="pct"/>
            <w:gridSpan w:val="2"/>
            <w:tcBorders>
              <w:top w:val="single" w:sz="4" w:space="0" w:color="auto"/>
              <w:left w:val="single" w:sz="4" w:space="0" w:color="auto"/>
              <w:bottom w:val="single" w:sz="4" w:space="0" w:color="auto"/>
              <w:right w:val="nil"/>
            </w:tcBorders>
            <w:shd w:val="clear" w:color="auto" w:fill="auto"/>
            <w:noWrap/>
            <w:vAlign w:val="center"/>
            <w:hideMark/>
          </w:tcPr>
          <w:p w14:paraId="7A51D796" w14:textId="77777777" w:rsidR="00857CD5" w:rsidRPr="00857CD5" w:rsidRDefault="00857CD5" w:rsidP="00857CD5">
            <w:pPr>
              <w:rPr>
                <w:lang w:val="en-NZ"/>
              </w:rPr>
            </w:pPr>
            <w:r w:rsidRPr="00857CD5">
              <w:rPr>
                <w:lang w:val="en-NZ"/>
              </w:rPr>
              <w:t>0.170%</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30C88630" w14:textId="77777777" w:rsidR="00857CD5" w:rsidRPr="00857CD5" w:rsidRDefault="00857CD5" w:rsidP="00857CD5">
            <w:pPr>
              <w:rPr>
                <w:lang w:val="en-NZ"/>
              </w:rPr>
            </w:pPr>
            <w:r w:rsidRPr="00857CD5">
              <w:rPr>
                <w:lang w:val="en-NZ"/>
              </w:rPr>
              <w:t> </w:t>
            </w:r>
          </w:p>
        </w:tc>
      </w:tr>
      <w:tr w:rsidR="00857CD5" w:rsidRPr="00857CD5" w14:paraId="69E98FEC" w14:textId="77777777" w:rsidTr="001756E5">
        <w:trPr>
          <w:trHeight w:val="540"/>
        </w:trPr>
        <w:tc>
          <w:tcPr>
            <w:tcW w:w="14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B4E044" w14:textId="77777777" w:rsidR="00857CD5" w:rsidRPr="00857CD5" w:rsidRDefault="00857CD5" w:rsidP="00857CD5">
            <w:pPr>
              <w:rPr>
                <w:lang w:val="en-NZ"/>
              </w:rPr>
            </w:pPr>
            <w:r w:rsidRPr="00857CD5">
              <w:rPr>
                <w:lang w:val="en-NZ"/>
              </w:rPr>
              <w:t>Milk and dairy processing</w:t>
            </w:r>
          </w:p>
        </w:tc>
        <w:tc>
          <w:tcPr>
            <w:tcW w:w="164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0C5E1C" w14:textId="77777777" w:rsidR="00857CD5" w:rsidRPr="00857CD5" w:rsidRDefault="00857CD5" w:rsidP="00857CD5">
            <w:pPr>
              <w:rPr>
                <w:lang w:val="en-NZ"/>
              </w:rPr>
            </w:pPr>
            <w:r w:rsidRPr="00857CD5">
              <w:rPr>
                <w:lang w:val="en-NZ"/>
              </w:rPr>
              <w:t>Dairy products</w:t>
            </w:r>
          </w:p>
        </w:tc>
        <w:tc>
          <w:tcPr>
            <w:tcW w:w="562" w:type="pct"/>
            <w:tcBorders>
              <w:top w:val="nil"/>
              <w:left w:val="nil"/>
              <w:bottom w:val="single" w:sz="4" w:space="0" w:color="auto"/>
              <w:right w:val="nil"/>
            </w:tcBorders>
            <w:shd w:val="clear" w:color="auto" w:fill="auto"/>
            <w:noWrap/>
            <w:vAlign w:val="center"/>
            <w:hideMark/>
          </w:tcPr>
          <w:p w14:paraId="0B82FDA4" w14:textId="77777777" w:rsidR="00857CD5" w:rsidRPr="00857CD5" w:rsidRDefault="00857CD5" w:rsidP="00857CD5">
            <w:pPr>
              <w:rPr>
                <w:lang w:val="en-NZ"/>
              </w:rPr>
            </w:pPr>
            <w:r w:rsidRPr="00857CD5">
              <w:rPr>
                <w:lang w:val="en-NZ"/>
              </w:rPr>
              <w:t>0.001%</w:t>
            </w:r>
          </w:p>
        </w:tc>
        <w:tc>
          <w:tcPr>
            <w:tcW w:w="695" w:type="pct"/>
            <w:gridSpan w:val="2"/>
            <w:tcBorders>
              <w:top w:val="nil"/>
              <w:left w:val="single" w:sz="4" w:space="0" w:color="auto"/>
              <w:bottom w:val="single" w:sz="4" w:space="0" w:color="auto"/>
              <w:right w:val="nil"/>
            </w:tcBorders>
            <w:shd w:val="clear" w:color="auto" w:fill="auto"/>
            <w:noWrap/>
            <w:vAlign w:val="center"/>
            <w:hideMark/>
          </w:tcPr>
          <w:p w14:paraId="3B492929" w14:textId="77777777" w:rsidR="00857CD5" w:rsidRPr="00857CD5" w:rsidRDefault="00857CD5" w:rsidP="00857CD5">
            <w:pPr>
              <w:rPr>
                <w:lang w:val="en-NZ"/>
              </w:rPr>
            </w:pPr>
            <w:r w:rsidRPr="00857CD5">
              <w:rPr>
                <w:lang w:val="en-NZ"/>
              </w:rPr>
              <w:t>0.009%</w:t>
            </w:r>
          </w:p>
        </w:tc>
        <w:tc>
          <w:tcPr>
            <w:tcW w:w="698" w:type="pct"/>
            <w:tcBorders>
              <w:top w:val="nil"/>
              <w:left w:val="nil"/>
              <w:bottom w:val="single" w:sz="4" w:space="0" w:color="auto"/>
              <w:right w:val="single" w:sz="4" w:space="0" w:color="auto"/>
            </w:tcBorders>
            <w:shd w:val="clear" w:color="auto" w:fill="auto"/>
            <w:noWrap/>
            <w:vAlign w:val="center"/>
            <w:hideMark/>
          </w:tcPr>
          <w:p w14:paraId="00BCE6A9" w14:textId="77777777" w:rsidR="00857CD5" w:rsidRPr="00857CD5" w:rsidRDefault="00857CD5" w:rsidP="00857CD5">
            <w:pPr>
              <w:rPr>
                <w:lang w:val="en-NZ"/>
              </w:rPr>
            </w:pPr>
            <w:r w:rsidRPr="00857CD5">
              <w:rPr>
                <w:lang w:val="en-NZ"/>
              </w:rPr>
              <w:t>(solid foods)</w:t>
            </w:r>
          </w:p>
        </w:tc>
      </w:tr>
      <w:tr w:rsidR="00857CD5" w:rsidRPr="00857CD5" w14:paraId="0180592E" w14:textId="77777777" w:rsidTr="001756E5">
        <w:trPr>
          <w:trHeight w:val="540"/>
        </w:trPr>
        <w:tc>
          <w:tcPr>
            <w:tcW w:w="1401" w:type="pct"/>
            <w:vMerge/>
            <w:tcBorders>
              <w:top w:val="nil"/>
              <w:left w:val="single" w:sz="4" w:space="0" w:color="auto"/>
              <w:bottom w:val="single" w:sz="4" w:space="0" w:color="auto"/>
              <w:right w:val="single" w:sz="4" w:space="0" w:color="auto"/>
            </w:tcBorders>
            <w:vAlign w:val="center"/>
            <w:hideMark/>
          </w:tcPr>
          <w:p w14:paraId="40434938" w14:textId="77777777" w:rsidR="00857CD5" w:rsidRPr="00857CD5" w:rsidRDefault="00857CD5" w:rsidP="00857CD5">
            <w:pPr>
              <w:rPr>
                <w:lang w:val="en-NZ"/>
              </w:rPr>
            </w:pPr>
          </w:p>
        </w:tc>
        <w:tc>
          <w:tcPr>
            <w:tcW w:w="1645" w:type="pct"/>
            <w:vMerge/>
            <w:tcBorders>
              <w:top w:val="nil"/>
              <w:left w:val="single" w:sz="4" w:space="0" w:color="auto"/>
              <w:bottom w:val="single" w:sz="4" w:space="0" w:color="auto"/>
              <w:right w:val="single" w:sz="4" w:space="0" w:color="auto"/>
            </w:tcBorders>
            <w:vAlign w:val="center"/>
            <w:hideMark/>
          </w:tcPr>
          <w:p w14:paraId="705CD1A4" w14:textId="77777777" w:rsidR="00857CD5" w:rsidRPr="00857CD5" w:rsidRDefault="00857CD5" w:rsidP="00857CD5">
            <w:pPr>
              <w:rPr>
                <w:lang w:val="en-NZ"/>
              </w:rPr>
            </w:pPr>
          </w:p>
        </w:tc>
        <w:tc>
          <w:tcPr>
            <w:tcW w:w="562" w:type="pct"/>
            <w:tcBorders>
              <w:top w:val="nil"/>
              <w:left w:val="nil"/>
              <w:bottom w:val="single" w:sz="4" w:space="0" w:color="auto"/>
              <w:right w:val="nil"/>
            </w:tcBorders>
            <w:shd w:val="clear" w:color="auto" w:fill="auto"/>
            <w:noWrap/>
            <w:vAlign w:val="center"/>
            <w:hideMark/>
          </w:tcPr>
          <w:p w14:paraId="33E37ACA" w14:textId="77777777" w:rsidR="00857CD5" w:rsidRPr="00857CD5" w:rsidRDefault="00857CD5" w:rsidP="00857CD5">
            <w:pPr>
              <w:rPr>
                <w:lang w:val="en-NZ"/>
              </w:rPr>
            </w:pPr>
            <w:r w:rsidRPr="00857CD5">
              <w:rPr>
                <w:lang w:val="en-NZ"/>
              </w:rPr>
              <w:t>0.004%</w:t>
            </w:r>
          </w:p>
        </w:tc>
        <w:tc>
          <w:tcPr>
            <w:tcW w:w="695" w:type="pct"/>
            <w:gridSpan w:val="2"/>
            <w:tcBorders>
              <w:top w:val="nil"/>
              <w:left w:val="single" w:sz="4" w:space="0" w:color="auto"/>
              <w:bottom w:val="single" w:sz="4" w:space="0" w:color="auto"/>
              <w:right w:val="nil"/>
            </w:tcBorders>
            <w:shd w:val="clear" w:color="auto" w:fill="auto"/>
            <w:noWrap/>
            <w:vAlign w:val="center"/>
            <w:hideMark/>
          </w:tcPr>
          <w:p w14:paraId="38EA54C0" w14:textId="77777777" w:rsidR="00857CD5" w:rsidRPr="00857CD5" w:rsidRDefault="00857CD5" w:rsidP="00857CD5">
            <w:pPr>
              <w:rPr>
                <w:lang w:val="en-NZ"/>
              </w:rPr>
            </w:pPr>
            <w:r w:rsidRPr="00857CD5">
              <w:rPr>
                <w:lang w:val="en-NZ"/>
              </w:rPr>
              <w:t>0.086%</w:t>
            </w:r>
          </w:p>
        </w:tc>
        <w:tc>
          <w:tcPr>
            <w:tcW w:w="698" w:type="pct"/>
            <w:tcBorders>
              <w:top w:val="nil"/>
              <w:left w:val="nil"/>
              <w:bottom w:val="single" w:sz="4" w:space="0" w:color="auto"/>
              <w:right w:val="single" w:sz="4" w:space="0" w:color="auto"/>
            </w:tcBorders>
            <w:shd w:val="clear" w:color="auto" w:fill="auto"/>
            <w:noWrap/>
            <w:vAlign w:val="center"/>
            <w:hideMark/>
          </w:tcPr>
          <w:p w14:paraId="10C21A87" w14:textId="77777777" w:rsidR="00857CD5" w:rsidRPr="00857CD5" w:rsidRDefault="00857CD5" w:rsidP="00857CD5">
            <w:pPr>
              <w:rPr>
                <w:lang w:val="en-NZ"/>
              </w:rPr>
            </w:pPr>
            <w:r w:rsidRPr="00857CD5">
              <w:rPr>
                <w:lang w:val="en-NZ"/>
              </w:rPr>
              <w:t>(beverages)</w:t>
            </w:r>
          </w:p>
        </w:tc>
      </w:tr>
      <w:tr w:rsidR="00857CD5" w:rsidRPr="00857CD5" w14:paraId="5D320D2F" w14:textId="77777777" w:rsidTr="001756E5">
        <w:trPr>
          <w:trHeight w:val="579"/>
        </w:trPr>
        <w:tc>
          <w:tcPr>
            <w:tcW w:w="1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ECAA" w14:textId="77777777" w:rsidR="00857CD5" w:rsidRPr="00857CD5" w:rsidRDefault="00857CD5" w:rsidP="00857CD5">
            <w:pPr>
              <w:rPr>
                <w:lang w:val="en-NZ"/>
              </w:rPr>
            </w:pPr>
            <w:r w:rsidRPr="00857CD5">
              <w:rPr>
                <w:lang w:val="en-NZ"/>
              </w:rPr>
              <w:t>Meat and fish processing</w:t>
            </w:r>
          </w:p>
        </w:tc>
        <w:tc>
          <w:tcPr>
            <w:tcW w:w="16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FD04" w14:textId="77777777" w:rsidR="00857CD5" w:rsidRPr="00857CD5" w:rsidRDefault="00857CD5" w:rsidP="00857CD5">
            <w:pPr>
              <w:rPr>
                <w:lang w:val="en-NZ"/>
              </w:rPr>
            </w:pPr>
            <w:r w:rsidRPr="00857CD5">
              <w:rPr>
                <w:lang w:val="en-NZ"/>
              </w:rPr>
              <w:t>Meat and Fish meat</w:t>
            </w:r>
          </w:p>
        </w:tc>
        <w:tc>
          <w:tcPr>
            <w:tcW w:w="562" w:type="pct"/>
            <w:tcBorders>
              <w:top w:val="single" w:sz="4" w:space="0" w:color="auto"/>
              <w:left w:val="single" w:sz="4" w:space="0" w:color="auto"/>
              <w:bottom w:val="single" w:sz="4" w:space="0" w:color="auto"/>
              <w:right w:val="nil"/>
            </w:tcBorders>
            <w:shd w:val="clear" w:color="auto" w:fill="auto"/>
            <w:noWrap/>
            <w:vAlign w:val="center"/>
            <w:hideMark/>
          </w:tcPr>
          <w:p w14:paraId="2F7F5DD4" w14:textId="77777777" w:rsidR="00857CD5" w:rsidRPr="00857CD5" w:rsidRDefault="00857CD5" w:rsidP="00857CD5">
            <w:pPr>
              <w:rPr>
                <w:lang w:val="en-NZ"/>
              </w:rPr>
            </w:pPr>
            <w:r w:rsidRPr="00857CD5">
              <w:rPr>
                <w:lang w:val="en-NZ"/>
              </w:rPr>
              <w:t>0.042%</w:t>
            </w:r>
          </w:p>
        </w:tc>
        <w:tc>
          <w:tcPr>
            <w:tcW w:w="695" w:type="pct"/>
            <w:gridSpan w:val="2"/>
            <w:tcBorders>
              <w:top w:val="single" w:sz="4" w:space="0" w:color="auto"/>
              <w:left w:val="single" w:sz="4" w:space="0" w:color="auto"/>
              <w:bottom w:val="single" w:sz="4" w:space="0" w:color="auto"/>
              <w:right w:val="nil"/>
            </w:tcBorders>
            <w:shd w:val="clear" w:color="auto" w:fill="auto"/>
            <w:noWrap/>
            <w:vAlign w:val="center"/>
            <w:hideMark/>
          </w:tcPr>
          <w:p w14:paraId="443F6844" w14:textId="77777777" w:rsidR="00857CD5" w:rsidRPr="00857CD5" w:rsidRDefault="00857CD5" w:rsidP="00857CD5">
            <w:pPr>
              <w:rPr>
                <w:lang w:val="en-NZ"/>
              </w:rPr>
            </w:pPr>
            <w:r w:rsidRPr="00857CD5">
              <w:rPr>
                <w:lang w:val="en-NZ"/>
              </w:rPr>
              <w:t>0.170%</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4F8FDD85" w14:textId="77777777" w:rsidR="00857CD5" w:rsidRPr="00857CD5" w:rsidRDefault="00857CD5" w:rsidP="00857CD5">
            <w:pPr>
              <w:rPr>
                <w:lang w:val="en-NZ"/>
              </w:rPr>
            </w:pPr>
            <w:r w:rsidRPr="00857CD5">
              <w:rPr>
                <w:lang w:val="en-NZ"/>
              </w:rPr>
              <w:t> </w:t>
            </w:r>
          </w:p>
        </w:tc>
      </w:tr>
      <w:tr w:rsidR="00857CD5" w:rsidRPr="00857CD5" w14:paraId="42236D0A" w14:textId="77777777" w:rsidTr="001756E5">
        <w:trPr>
          <w:trHeight w:val="660"/>
        </w:trPr>
        <w:tc>
          <w:tcPr>
            <w:tcW w:w="1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0A40E" w14:textId="77777777" w:rsidR="00857CD5" w:rsidRPr="00857CD5" w:rsidRDefault="00857CD5" w:rsidP="00857CD5">
            <w:pPr>
              <w:rPr>
                <w:lang w:val="en-NZ"/>
              </w:rPr>
            </w:pPr>
            <w:r w:rsidRPr="00857CD5">
              <w:rPr>
                <w:lang w:val="en-NZ"/>
              </w:rPr>
              <w:t>Protein processing</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2A113" w14:textId="77777777" w:rsidR="00857CD5" w:rsidRPr="00857CD5" w:rsidRDefault="00857CD5" w:rsidP="00857CD5">
            <w:pPr>
              <w:rPr>
                <w:lang w:val="en-NZ"/>
              </w:rPr>
            </w:pPr>
            <w:r w:rsidRPr="00857CD5">
              <w:rPr>
                <w:lang w:val="en-NZ"/>
              </w:rPr>
              <w:t>Food derived proteins such as meat, egg, milk, soy, maize etc.</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A36A3" w14:textId="77777777" w:rsidR="00857CD5" w:rsidRPr="00857CD5" w:rsidRDefault="00857CD5" w:rsidP="00857CD5">
            <w:pPr>
              <w:rPr>
                <w:lang w:val="en-NZ"/>
              </w:rPr>
            </w:pPr>
            <w:r w:rsidRPr="00857CD5">
              <w:rPr>
                <w:lang w:val="en-NZ"/>
              </w:rPr>
              <w:t>0.009%</w:t>
            </w:r>
          </w:p>
        </w:tc>
        <w:tc>
          <w:tcPr>
            <w:tcW w:w="695" w:type="pct"/>
            <w:gridSpan w:val="2"/>
            <w:tcBorders>
              <w:top w:val="single" w:sz="4" w:space="0" w:color="auto"/>
              <w:left w:val="single" w:sz="4" w:space="0" w:color="auto"/>
              <w:bottom w:val="single" w:sz="4" w:space="0" w:color="auto"/>
            </w:tcBorders>
            <w:shd w:val="clear" w:color="auto" w:fill="auto"/>
            <w:noWrap/>
            <w:vAlign w:val="center"/>
            <w:hideMark/>
          </w:tcPr>
          <w:p w14:paraId="74CED1CB" w14:textId="77777777" w:rsidR="00857CD5" w:rsidRPr="00857CD5" w:rsidRDefault="00857CD5" w:rsidP="00857CD5">
            <w:pPr>
              <w:rPr>
                <w:lang w:val="en-NZ"/>
              </w:rPr>
            </w:pPr>
            <w:r w:rsidRPr="00857CD5">
              <w:rPr>
                <w:lang w:val="en-NZ"/>
              </w:rPr>
              <w:t>0.852%</w:t>
            </w:r>
          </w:p>
        </w:tc>
        <w:tc>
          <w:tcPr>
            <w:tcW w:w="698" w:type="pct"/>
            <w:tcBorders>
              <w:top w:val="single" w:sz="4" w:space="0" w:color="auto"/>
              <w:bottom w:val="single" w:sz="4" w:space="0" w:color="auto"/>
              <w:right w:val="single" w:sz="4" w:space="0" w:color="auto"/>
            </w:tcBorders>
            <w:shd w:val="clear" w:color="auto" w:fill="auto"/>
            <w:noWrap/>
            <w:vAlign w:val="center"/>
            <w:hideMark/>
          </w:tcPr>
          <w:p w14:paraId="3D535CFF" w14:textId="77777777" w:rsidR="00857CD5" w:rsidRPr="00857CD5" w:rsidRDefault="00857CD5" w:rsidP="00857CD5">
            <w:pPr>
              <w:rPr>
                <w:lang w:val="en-NZ"/>
              </w:rPr>
            </w:pPr>
            <w:r w:rsidRPr="00857CD5">
              <w:rPr>
                <w:lang w:val="en-NZ"/>
              </w:rPr>
              <w:t> </w:t>
            </w:r>
          </w:p>
        </w:tc>
      </w:tr>
      <w:tr w:rsidR="00857CD5" w:rsidRPr="00857CD5" w14:paraId="2BA99B21" w14:textId="77777777" w:rsidTr="001756E5">
        <w:trPr>
          <w:trHeight w:val="540"/>
        </w:trPr>
        <w:tc>
          <w:tcPr>
            <w:tcW w:w="14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B00A2" w14:textId="77777777" w:rsidR="00857CD5" w:rsidRPr="00857CD5" w:rsidRDefault="00857CD5" w:rsidP="00857CD5">
            <w:pPr>
              <w:rPr>
                <w:lang w:val="en-NZ"/>
              </w:rPr>
            </w:pPr>
            <w:r w:rsidRPr="00857CD5">
              <w:rPr>
                <w:lang w:val="en-NZ"/>
              </w:rPr>
              <w:t>Grain processing</w:t>
            </w:r>
          </w:p>
        </w:tc>
        <w:tc>
          <w:tcPr>
            <w:tcW w:w="1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4252F" w14:textId="77777777" w:rsidR="00857CD5" w:rsidRPr="00857CD5" w:rsidRDefault="00857CD5" w:rsidP="00857CD5">
            <w:pPr>
              <w:rPr>
                <w:lang w:val="en-NZ"/>
              </w:rPr>
            </w:pPr>
            <w:r w:rsidRPr="00857CD5">
              <w:rPr>
                <w:lang w:val="en-NZ"/>
              </w:rPr>
              <w:t>Cereal flours derived from wheat, oat, barley, soy, maize etc.</w:t>
            </w:r>
          </w:p>
        </w:tc>
        <w:tc>
          <w:tcPr>
            <w:tcW w:w="562" w:type="pct"/>
            <w:tcBorders>
              <w:top w:val="single" w:sz="4" w:space="0" w:color="auto"/>
              <w:left w:val="nil"/>
              <w:bottom w:val="single" w:sz="4" w:space="0" w:color="auto"/>
              <w:right w:val="nil"/>
            </w:tcBorders>
            <w:shd w:val="clear" w:color="auto" w:fill="auto"/>
            <w:noWrap/>
            <w:vAlign w:val="center"/>
            <w:hideMark/>
          </w:tcPr>
          <w:p w14:paraId="03437038" w14:textId="77777777" w:rsidR="00857CD5" w:rsidRPr="00857CD5" w:rsidRDefault="00857CD5" w:rsidP="00857CD5">
            <w:pPr>
              <w:rPr>
                <w:lang w:val="en-NZ"/>
              </w:rPr>
            </w:pPr>
            <w:r w:rsidRPr="00857CD5">
              <w:rPr>
                <w:lang w:val="en-NZ"/>
              </w:rPr>
              <w:t>0.017%</w:t>
            </w:r>
          </w:p>
        </w:tc>
        <w:tc>
          <w:tcPr>
            <w:tcW w:w="695" w:type="pct"/>
            <w:gridSpan w:val="2"/>
            <w:tcBorders>
              <w:top w:val="single" w:sz="4" w:space="0" w:color="auto"/>
              <w:left w:val="single" w:sz="4" w:space="0" w:color="auto"/>
              <w:bottom w:val="single" w:sz="4" w:space="0" w:color="auto"/>
              <w:right w:val="nil"/>
            </w:tcBorders>
            <w:shd w:val="clear" w:color="auto" w:fill="auto"/>
            <w:noWrap/>
            <w:vAlign w:val="center"/>
            <w:hideMark/>
          </w:tcPr>
          <w:p w14:paraId="4D34B670" w14:textId="77777777" w:rsidR="00857CD5" w:rsidRPr="00857CD5" w:rsidRDefault="00857CD5" w:rsidP="00857CD5">
            <w:pPr>
              <w:rPr>
                <w:lang w:val="en-NZ"/>
              </w:rPr>
            </w:pPr>
            <w:r w:rsidRPr="00857CD5">
              <w:rPr>
                <w:lang w:val="en-NZ"/>
              </w:rPr>
              <w:t>0.170%</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7A47B2F7" w14:textId="77777777" w:rsidR="00857CD5" w:rsidRPr="00857CD5" w:rsidRDefault="00857CD5" w:rsidP="00857CD5">
            <w:pPr>
              <w:rPr>
                <w:lang w:val="en-NZ"/>
              </w:rPr>
            </w:pPr>
            <w:r w:rsidRPr="00857CD5">
              <w:rPr>
                <w:lang w:val="en-NZ"/>
              </w:rPr>
              <w:t>(solid foods)</w:t>
            </w:r>
          </w:p>
        </w:tc>
      </w:tr>
      <w:tr w:rsidR="00857CD5" w:rsidRPr="00857CD5" w14:paraId="7089CDD0" w14:textId="77777777" w:rsidTr="001756E5">
        <w:trPr>
          <w:trHeight w:val="540"/>
        </w:trPr>
        <w:tc>
          <w:tcPr>
            <w:tcW w:w="1401" w:type="pct"/>
            <w:vMerge/>
            <w:tcBorders>
              <w:top w:val="nil"/>
              <w:left w:val="single" w:sz="4" w:space="0" w:color="auto"/>
              <w:bottom w:val="single" w:sz="4" w:space="0" w:color="auto"/>
              <w:right w:val="single" w:sz="4" w:space="0" w:color="auto"/>
            </w:tcBorders>
            <w:vAlign w:val="center"/>
            <w:hideMark/>
          </w:tcPr>
          <w:p w14:paraId="24B0FBF5" w14:textId="77777777" w:rsidR="00857CD5" w:rsidRPr="00857CD5" w:rsidRDefault="00857CD5" w:rsidP="00857CD5">
            <w:pPr>
              <w:rPr>
                <w:lang w:val="en-NZ"/>
              </w:rPr>
            </w:pPr>
          </w:p>
        </w:tc>
        <w:tc>
          <w:tcPr>
            <w:tcW w:w="1645" w:type="pct"/>
            <w:vMerge/>
            <w:tcBorders>
              <w:top w:val="nil"/>
              <w:left w:val="single" w:sz="4" w:space="0" w:color="auto"/>
              <w:bottom w:val="single" w:sz="4" w:space="0" w:color="auto"/>
              <w:right w:val="single" w:sz="4" w:space="0" w:color="auto"/>
            </w:tcBorders>
            <w:vAlign w:val="center"/>
            <w:hideMark/>
          </w:tcPr>
          <w:p w14:paraId="34BEBDF9" w14:textId="77777777" w:rsidR="00857CD5" w:rsidRPr="00857CD5" w:rsidRDefault="00857CD5" w:rsidP="00857CD5">
            <w:pPr>
              <w:rPr>
                <w:lang w:val="en-NZ"/>
              </w:rPr>
            </w:pPr>
          </w:p>
        </w:tc>
        <w:tc>
          <w:tcPr>
            <w:tcW w:w="562" w:type="pct"/>
            <w:tcBorders>
              <w:top w:val="nil"/>
              <w:left w:val="nil"/>
              <w:bottom w:val="single" w:sz="4" w:space="0" w:color="auto"/>
              <w:right w:val="nil"/>
            </w:tcBorders>
            <w:shd w:val="clear" w:color="auto" w:fill="auto"/>
            <w:noWrap/>
            <w:vAlign w:val="center"/>
            <w:hideMark/>
          </w:tcPr>
          <w:p w14:paraId="148AB660" w14:textId="77777777" w:rsidR="00857CD5" w:rsidRPr="00857CD5" w:rsidRDefault="00857CD5" w:rsidP="00857CD5">
            <w:pPr>
              <w:rPr>
                <w:lang w:val="en-NZ"/>
              </w:rPr>
            </w:pPr>
            <w:r w:rsidRPr="00857CD5">
              <w:rPr>
                <w:lang w:val="en-NZ"/>
              </w:rPr>
              <w:t>0.002%</w:t>
            </w:r>
          </w:p>
        </w:tc>
        <w:tc>
          <w:tcPr>
            <w:tcW w:w="695" w:type="pct"/>
            <w:gridSpan w:val="2"/>
            <w:tcBorders>
              <w:top w:val="nil"/>
              <w:left w:val="single" w:sz="4" w:space="0" w:color="auto"/>
              <w:bottom w:val="single" w:sz="4" w:space="0" w:color="auto"/>
              <w:right w:val="nil"/>
            </w:tcBorders>
            <w:shd w:val="clear" w:color="auto" w:fill="auto"/>
            <w:noWrap/>
            <w:vAlign w:val="center"/>
            <w:hideMark/>
          </w:tcPr>
          <w:p w14:paraId="28834E34" w14:textId="77777777" w:rsidR="00857CD5" w:rsidRPr="00857CD5" w:rsidRDefault="00857CD5" w:rsidP="00857CD5">
            <w:pPr>
              <w:rPr>
                <w:lang w:val="en-NZ"/>
              </w:rPr>
            </w:pPr>
            <w:r w:rsidRPr="00857CD5">
              <w:rPr>
                <w:lang w:val="en-NZ"/>
              </w:rPr>
              <w:t>0.030%</w:t>
            </w:r>
          </w:p>
        </w:tc>
        <w:tc>
          <w:tcPr>
            <w:tcW w:w="698" w:type="pct"/>
            <w:tcBorders>
              <w:top w:val="nil"/>
              <w:left w:val="nil"/>
              <w:bottom w:val="single" w:sz="4" w:space="0" w:color="auto"/>
              <w:right w:val="single" w:sz="4" w:space="0" w:color="auto"/>
            </w:tcBorders>
            <w:shd w:val="clear" w:color="auto" w:fill="auto"/>
            <w:noWrap/>
            <w:vAlign w:val="center"/>
            <w:hideMark/>
          </w:tcPr>
          <w:p w14:paraId="505BE5C0" w14:textId="77777777" w:rsidR="00857CD5" w:rsidRPr="00857CD5" w:rsidRDefault="00857CD5" w:rsidP="00857CD5">
            <w:pPr>
              <w:rPr>
                <w:lang w:val="en-NZ"/>
              </w:rPr>
            </w:pPr>
            <w:r w:rsidRPr="00857CD5">
              <w:rPr>
                <w:lang w:val="en-NZ"/>
              </w:rPr>
              <w:t>(beverages)</w:t>
            </w:r>
          </w:p>
        </w:tc>
      </w:tr>
      <w:tr w:rsidR="00857CD5" w:rsidRPr="00857CD5" w14:paraId="152378ED" w14:textId="77777777" w:rsidTr="001756E5">
        <w:trPr>
          <w:trHeight w:val="540"/>
        </w:trPr>
        <w:tc>
          <w:tcPr>
            <w:tcW w:w="1401" w:type="pct"/>
            <w:tcBorders>
              <w:top w:val="nil"/>
              <w:left w:val="single" w:sz="4" w:space="0" w:color="auto"/>
              <w:bottom w:val="single" w:sz="4" w:space="0" w:color="auto"/>
              <w:right w:val="single" w:sz="4" w:space="0" w:color="auto"/>
            </w:tcBorders>
            <w:shd w:val="clear" w:color="auto" w:fill="auto"/>
            <w:noWrap/>
            <w:vAlign w:val="center"/>
            <w:hideMark/>
          </w:tcPr>
          <w:p w14:paraId="71A9A74F" w14:textId="77777777" w:rsidR="00857CD5" w:rsidRPr="00857CD5" w:rsidRDefault="00857CD5" w:rsidP="00857CD5">
            <w:pPr>
              <w:rPr>
                <w:lang w:val="en-NZ"/>
              </w:rPr>
            </w:pPr>
            <w:r w:rsidRPr="00857CD5">
              <w:rPr>
                <w:lang w:val="en-NZ"/>
              </w:rPr>
              <w:t>Yeast processing</w:t>
            </w:r>
          </w:p>
        </w:tc>
        <w:tc>
          <w:tcPr>
            <w:tcW w:w="1645" w:type="pct"/>
            <w:tcBorders>
              <w:top w:val="nil"/>
              <w:left w:val="nil"/>
              <w:bottom w:val="single" w:sz="4" w:space="0" w:color="auto"/>
              <w:right w:val="single" w:sz="4" w:space="0" w:color="auto"/>
            </w:tcBorders>
            <w:shd w:val="clear" w:color="auto" w:fill="auto"/>
            <w:noWrap/>
            <w:vAlign w:val="center"/>
            <w:hideMark/>
          </w:tcPr>
          <w:p w14:paraId="1484808E" w14:textId="77777777" w:rsidR="00857CD5" w:rsidRPr="00857CD5" w:rsidRDefault="00857CD5" w:rsidP="00857CD5">
            <w:pPr>
              <w:rPr>
                <w:lang w:val="en-NZ"/>
              </w:rPr>
            </w:pPr>
            <w:r w:rsidRPr="00857CD5">
              <w:rPr>
                <w:lang w:val="en-NZ"/>
              </w:rPr>
              <w:t>Yeast</w:t>
            </w:r>
          </w:p>
        </w:tc>
        <w:tc>
          <w:tcPr>
            <w:tcW w:w="562" w:type="pct"/>
            <w:tcBorders>
              <w:top w:val="nil"/>
              <w:left w:val="nil"/>
              <w:bottom w:val="single" w:sz="4" w:space="0" w:color="auto"/>
              <w:right w:val="nil"/>
            </w:tcBorders>
            <w:shd w:val="clear" w:color="auto" w:fill="auto"/>
            <w:noWrap/>
            <w:vAlign w:val="center"/>
            <w:hideMark/>
          </w:tcPr>
          <w:p w14:paraId="3A448EFE" w14:textId="77777777" w:rsidR="00857CD5" w:rsidRPr="00857CD5" w:rsidRDefault="00857CD5" w:rsidP="00857CD5">
            <w:pPr>
              <w:rPr>
                <w:lang w:val="en-NZ"/>
              </w:rPr>
            </w:pPr>
            <w:r w:rsidRPr="00857CD5">
              <w:rPr>
                <w:lang w:val="en-NZ"/>
              </w:rPr>
              <w:t>0.011%</w:t>
            </w:r>
          </w:p>
        </w:tc>
        <w:tc>
          <w:tcPr>
            <w:tcW w:w="695" w:type="pct"/>
            <w:gridSpan w:val="2"/>
            <w:tcBorders>
              <w:top w:val="nil"/>
              <w:left w:val="single" w:sz="4" w:space="0" w:color="auto"/>
              <w:bottom w:val="single" w:sz="4" w:space="0" w:color="auto"/>
              <w:right w:val="nil"/>
            </w:tcBorders>
            <w:shd w:val="clear" w:color="auto" w:fill="auto"/>
            <w:noWrap/>
            <w:vAlign w:val="center"/>
            <w:hideMark/>
          </w:tcPr>
          <w:p w14:paraId="732E8415" w14:textId="77777777" w:rsidR="00857CD5" w:rsidRPr="00857CD5" w:rsidRDefault="00857CD5" w:rsidP="00857CD5">
            <w:pPr>
              <w:rPr>
                <w:lang w:val="en-NZ"/>
              </w:rPr>
            </w:pPr>
            <w:r w:rsidRPr="00857CD5">
              <w:rPr>
                <w:lang w:val="en-NZ"/>
              </w:rPr>
              <w:t>0.072%</w:t>
            </w:r>
          </w:p>
        </w:tc>
        <w:tc>
          <w:tcPr>
            <w:tcW w:w="698" w:type="pct"/>
            <w:tcBorders>
              <w:top w:val="nil"/>
              <w:left w:val="nil"/>
              <w:bottom w:val="single" w:sz="4" w:space="0" w:color="auto"/>
              <w:right w:val="single" w:sz="4" w:space="0" w:color="auto"/>
            </w:tcBorders>
            <w:shd w:val="clear" w:color="auto" w:fill="auto"/>
            <w:noWrap/>
            <w:vAlign w:val="center"/>
            <w:hideMark/>
          </w:tcPr>
          <w:p w14:paraId="5A8E035A" w14:textId="77777777" w:rsidR="00857CD5" w:rsidRPr="00857CD5" w:rsidRDefault="00857CD5" w:rsidP="00857CD5">
            <w:pPr>
              <w:rPr>
                <w:lang w:val="en-NZ"/>
              </w:rPr>
            </w:pPr>
            <w:r w:rsidRPr="00857CD5">
              <w:rPr>
                <w:lang w:val="en-NZ"/>
              </w:rPr>
              <w:t> </w:t>
            </w:r>
          </w:p>
        </w:tc>
      </w:tr>
    </w:tbl>
    <w:p w14:paraId="0CE2DECA" w14:textId="77777777" w:rsidR="00857CD5" w:rsidRPr="00857CD5" w:rsidRDefault="00857CD5" w:rsidP="00857CD5"/>
    <w:p w14:paraId="562F64F8" w14:textId="77777777" w:rsidR="00857CD5" w:rsidRPr="00857CD5" w:rsidRDefault="00857CD5" w:rsidP="006A726E">
      <w:pPr>
        <w:pStyle w:val="Heading3"/>
      </w:pPr>
      <w:bookmarkStart w:id="23" w:name="_Toc485893673"/>
      <w:bookmarkStart w:id="24" w:name="_Toc492456023"/>
      <w:r w:rsidRPr="00857CD5">
        <w:t>2.3</w:t>
      </w:r>
      <w:r w:rsidRPr="00857CD5">
        <w:tab/>
        <w:t>Technological justification</w:t>
      </w:r>
      <w:bookmarkEnd w:id="23"/>
      <w:bookmarkEnd w:id="24"/>
    </w:p>
    <w:p w14:paraId="734170A8" w14:textId="7806A146" w:rsidR="00857CD5" w:rsidRPr="00857CD5" w:rsidRDefault="00857CD5" w:rsidP="00857CD5">
      <w:r w:rsidRPr="00857CD5">
        <w:t>Most plant proteins have poor solubility and therefore functionality under mild acidic conditions, which is the pH range of most food systems, resulting in their limited use in foods (Yamaguchi, 2000). Because the content of glutamine residue in plant proteins are generally high, deamidation of such proteins is regarded as a promising method to improve protein functionality in food systems (Yamaguchi, 2001).</w:t>
      </w:r>
    </w:p>
    <w:p w14:paraId="308BD2D2" w14:textId="7B5623EF" w:rsidR="00857CD5" w:rsidRPr="00857CD5" w:rsidRDefault="00857CD5" w:rsidP="00857CD5"/>
    <w:p w14:paraId="7F238A71" w14:textId="77777777" w:rsidR="00857CD5" w:rsidRPr="00857CD5" w:rsidRDefault="00857CD5" w:rsidP="00857CD5">
      <w:r w:rsidRPr="00857CD5">
        <w:t xml:space="preserve">In general, deamidated proteins have a decreased isoelectric point due to increased negatively charged carboxyl groups, resulting in a protein with increased solubility under more acidic conditions. This is particularly important for food proteins since many food matrixes are in the semi or high acid range. </w:t>
      </w:r>
    </w:p>
    <w:p w14:paraId="11830E2F" w14:textId="77777777" w:rsidR="00857CD5" w:rsidRPr="00857CD5" w:rsidRDefault="00857CD5" w:rsidP="00857CD5"/>
    <w:p w14:paraId="6BC3E1BC" w14:textId="77777777" w:rsidR="00857CD5" w:rsidRPr="00857CD5" w:rsidRDefault="00857CD5" w:rsidP="00857CD5">
      <w:r w:rsidRPr="00857CD5">
        <w:t>Deamidation of proteins could also cause the alteration their tertiary structures. An unfolding of the protein would take place due to the electrostatic repulsion of newly formed negatively charged carboxyl groups. This unfolding leads to the exposure of hydrophobic regions, previously buried in the interior of the protein, to the aqueous surroundings. This alteration results in a protein with an improved amphiphilic character suited to use as an emulsifier, foaming or gelling agent.</w:t>
      </w:r>
    </w:p>
    <w:p w14:paraId="54B7E022" w14:textId="77777777" w:rsidR="00857CD5" w:rsidRPr="00857CD5" w:rsidRDefault="00857CD5" w:rsidP="00857CD5"/>
    <w:p w14:paraId="2D1E557D" w14:textId="77777777" w:rsidR="00857CD5" w:rsidRPr="00857CD5" w:rsidRDefault="00857CD5" w:rsidP="00857CD5">
      <w:r w:rsidRPr="00857CD5">
        <w:t xml:space="preserve">Enzymatic methods for deamidation of proteins, such as the use of protein glutaminase, is selective, fast and occurs under mild reaction conditions within a food matrix (Hamada 1994). This is advantageous over other methods of protein deamidation such as thermal and/or chemical modification methods, which may produce undesired side effects on proteins, such as “off-flavour” formation (Yamaguchi, 2000). </w:t>
      </w:r>
    </w:p>
    <w:p w14:paraId="7FC26DC7" w14:textId="77777777" w:rsidR="00857CD5" w:rsidRPr="00857CD5" w:rsidRDefault="00857CD5" w:rsidP="00857CD5"/>
    <w:p w14:paraId="60FA7589" w14:textId="77777777" w:rsidR="00857CD5" w:rsidRPr="00857CD5" w:rsidRDefault="00857CD5" w:rsidP="00857CD5">
      <w:r w:rsidRPr="00857CD5">
        <w:t>FSANZ concludes that there is technological justification for the use of protein glutaminase in the applications suggest by Amano.</w:t>
      </w:r>
    </w:p>
    <w:p w14:paraId="037BE78F" w14:textId="72531D16" w:rsidR="00857CD5" w:rsidRPr="00FD462C" w:rsidRDefault="00FD462C" w:rsidP="006A726E">
      <w:pPr>
        <w:pStyle w:val="Heading3"/>
      </w:pPr>
      <w:bookmarkStart w:id="25" w:name="_Toc485893674"/>
      <w:bookmarkStart w:id="26" w:name="_Toc492456024"/>
      <w:r>
        <w:t>2.4</w:t>
      </w:r>
      <w:r w:rsidR="00857CD5" w:rsidRPr="00FD462C">
        <w:tab/>
        <w:t>Manufacturing process</w:t>
      </w:r>
      <w:bookmarkEnd w:id="25"/>
      <w:bookmarkEnd w:id="26"/>
    </w:p>
    <w:p w14:paraId="436F03CF" w14:textId="5A1853EE" w:rsidR="00857CD5" w:rsidRDefault="00857CD5" w:rsidP="00857CD5">
      <w:r w:rsidRPr="00857CD5">
        <w:t xml:space="preserve">Protein glutaminase production begins with the fermentation of </w:t>
      </w:r>
      <w:r w:rsidR="00AE6C9D">
        <w:rPr>
          <w:i/>
        </w:rPr>
        <w:t>C.</w:t>
      </w:r>
      <w:r w:rsidR="00AE6C9D" w:rsidRPr="00857CD5">
        <w:rPr>
          <w:i/>
        </w:rPr>
        <w:t xml:space="preserve"> </w:t>
      </w:r>
      <w:r w:rsidRPr="00857CD5">
        <w:rPr>
          <w:i/>
        </w:rPr>
        <w:t>proteolyticum</w:t>
      </w:r>
      <w:r w:rsidRPr="00857CD5">
        <w:t xml:space="preserve"> </w:t>
      </w:r>
      <w:r w:rsidR="00AF2840">
        <w:t xml:space="preserve">strain AE-PG </w:t>
      </w:r>
      <w:r w:rsidRPr="00857CD5">
        <w:t>under standard culturing conditions followed by several filtration and purification steps. The resulting protein glutaminase concentrate is then formulated into a commercial “enzyme preparation” for food manufacturers. Amano also have production controls in place to monitor the strain during the fermentation thereby ensuring no genetic drift.</w:t>
      </w:r>
    </w:p>
    <w:p w14:paraId="28B74FF1" w14:textId="77777777" w:rsidR="00FB5527" w:rsidRPr="00857CD5" w:rsidRDefault="00FB5527" w:rsidP="00857CD5"/>
    <w:p w14:paraId="14F1F225" w14:textId="29F924EB" w:rsidR="00857CD5" w:rsidRPr="00857CD5" w:rsidRDefault="00857CD5" w:rsidP="00857CD5">
      <w:r w:rsidRPr="00857CD5">
        <w:t>The enzyme preparation is produced according to the FSSC22000 food safety system</w:t>
      </w:r>
      <w:r w:rsidR="00AF02B9">
        <w:t xml:space="preserve"> (for GMP certification)</w:t>
      </w:r>
      <w:r w:rsidRPr="00857CD5">
        <w:t xml:space="preserve"> and complies with international guidelines for the safe handling of microbial enzyme preparations published by the Association of Manufacturers of Fermentation Enzyme Products</w:t>
      </w:r>
      <w:r w:rsidR="00D965B5">
        <w:t xml:space="preserve">. </w:t>
      </w:r>
      <w:r w:rsidRPr="00857CD5">
        <w:t>NTG (N-methyl-N'-nitro-N-nitrosoguanidine)</w:t>
      </w:r>
      <w:r w:rsidR="00660A53">
        <w:t>, a</w:t>
      </w:r>
      <w:r w:rsidR="00660A53" w:rsidRPr="00660A53">
        <w:t xml:space="preserve"> mutagen used to </w:t>
      </w:r>
      <w:r w:rsidR="00660A53" w:rsidRPr="00660A53">
        <w:rPr>
          <w:lang w:val="en-AU"/>
        </w:rPr>
        <w:t>change the genetic material</w:t>
      </w:r>
      <w:r w:rsidR="00660A53">
        <w:rPr>
          <w:lang w:val="en-AU"/>
        </w:rPr>
        <w:t>,</w:t>
      </w:r>
      <w:r w:rsidR="00660A53" w:rsidRPr="00660A53">
        <w:t xml:space="preserve"> </w:t>
      </w:r>
      <w:r w:rsidRPr="00857CD5">
        <w:t>was used to obtain the current production strain. Recombinant DNA technology was not used to obtain this strain</w:t>
      </w:r>
      <w:r w:rsidR="00CE31A1">
        <w:t xml:space="preserve"> and on that basis does not meet the legislative definition of a genetically modified organism</w:t>
      </w:r>
      <w:r w:rsidRPr="00857CD5">
        <w:t>.</w:t>
      </w:r>
    </w:p>
    <w:p w14:paraId="20E33608" w14:textId="77777777" w:rsidR="00857CD5" w:rsidRPr="00857CD5" w:rsidRDefault="00857CD5" w:rsidP="00857CD5"/>
    <w:p w14:paraId="479C9A69" w14:textId="2FD7F9E4" w:rsidR="00857CD5" w:rsidRDefault="00857CD5" w:rsidP="00857CD5">
      <w:r w:rsidRPr="00857CD5">
        <w:t xml:space="preserve">The raw materials used in the production of protein glutaminase are safe and suitable for use and are permitted as either processing aids or foods additives in the Code. The finished Amano protein glutaminase enzyme is blended with a </w:t>
      </w:r>
      <w:r w:rsidR="00FB5527">
        <w:t xml:space="preserve">Cassava </w:t>
      </w:r>
      <w:r w:rsidRPr="00857CD5">
        <w:t>dextrin for use in food processing. The resultant enzyme preparation is a light yellowish-white powder.</w:t>
      </w:r>
    </w:p>
    <w:p w14:paraId="5DDC8F40" w14:textId="49B883D0" w:rsidR="00857CD5" w:rsidRPr="00857CD5" w:rsidRDefault="00FD462C" w:rsidP="001756E5">
      <w:pPr>
        <w:pStyle w:val="Heading3"/>
      </w:pPr>
      <w:bookmarkStart w:id="27" w:name="_Toc485893675"/>
      <w:bookmarkStart w:id="28" w:name="_Toc492456025"/>
      <w:r>
        <w:lastRenderedPageBreak/>
        <w:t>2.5</w:t>
      </w:r>
      <w:r w:rsidR="00857CD5" w:rsidRPr="00857CD5">
        <w:tab/>
        <w:t>Manufacturing flow chart</w:t>
      </w:r>
      <w:bookmarkEnd w:id="27"/>
      <w:bookmarkEnd w:id="28"/>
    </w:p>
    <w:p w14:paraId="014E6959" w14:textId="3602D141" w:rsidR="00857CD5" w:rsidRDefault="00857CD5" w:rsidP="00857CD5">
      <w:r>
        <w:rPr>
          <w:noProof/>
          <w:lang w:eastAsia="en-GB" w:bidi="ar-SA"/>
        </w:rPr>
        <mc:AlternateContent>
          <mc:Choice Requires="wps">
            <w:drawing>
              <wp:inline distT="0" distB="0" distL="0" distR="0" wp14:anchorId="0630172D" wp14:editId="7DF5C3FA">
                <wp:extent cx="3848100" cy="3390900"/>
                <wp:effectExtent l="0" t="0" r="19050" b="19050"/>
                <wp:docPr id="2" name="Text Box 2"/>
                <wp:cNvGraphicFramePr/>
                <a:graphic xmlns:a="http://schemas.openxmlformats.org/drawingml/2006/main">
                  <a:graphicData uri="http://schemas.microsoft.com/office/word/2010/wordprocessingShape">
                    <wps:wsp>
                      <wps:cNvSpPr txBox="1"/>
                      <wps:spPr>
                        <a:xfrm>
                          <a:off x="0" y="0"/>
                          <a:ext cx="3848100" cy="3390900"/>
                        </a:xfrm>
                        <a:prstGeom prst="rect">
                          <a:avLst/>
                        </a:prstGeom>
                        <a:noFill/>
                        <a:ln w="6350">
                          <a:solidFill>
                            <a:prstClr val="black"/>
                          </a:solidFill>
                        </a:ln>
                      </wps:spPr>
                      <wps:txbx>
                        <w:txbxContent>
                          <w:p w14:paraId="3E35921C" w14:textId="77777777" w:rsidR="00A675F0" w:rsidRPr="00857CD5" w:rsidRDefault="00A675F0" w:rsidP="00857CD5">
                            <w:pPr>
                              <w:jc w:val="center"/>
                              <w:rPr>
                                <w:sz w:val="24"/>
                              </w:rPr>
                            </w:pPr>
                            <w:r w:rsidRPr="00857CD5">
                              <w:rPr>
                                <w:sz w:val="24"/>
                              </w:rPr>
                              <w:t>Production strain</w:t>
                            </w:r>
                          </w:p>
                          <w:p w14:paraId="28330E99" w14:textId="77777777" w:rsidR="00A675F0" w:rsidRPr="00857CD5" w:rsidRDefault="00A675F0" w:rsidP="00857CD5">
                            <w:pPr>
                              <w:jc w:val="center"/>
                              <w:rPr>
                                <w:sz w:val="24"/>
                              </w:rPr>
                            </w:pPr>
                            <w:r w:rsidRPr="00857CD5">
                              <w:rPr>
                                <w:sz w:val="24"/>
                              </w:rPr>
                              <w:t>↓</w:t>
                            </w:r>
                          </w:p>
                          <w:p w14:paraId="49C3BDF3" w14:textId="77777777" w:rsidR="00A675F0" w:rsidRPr="00857CD5" w:rsidRDefault="00A675F0" w:rsidP="00857CD5">
                            <w:pPr>
                              <w:jc w:val="center"/>
                              <w:rPr>
                                <w:sz w:val="24"/>
                              </w:rPr>
                            </w:pPr>
                            <w:r w:rsidRPr="00857CD5">
                              <w:rPr>
                                <w:sz w:val="24"/>
                              </w:rPr>
                              <w:t>Pre fermentation</w:t>
                            </w:r>
                          </w:p>
                          <w:p w14:paraId="755B0038" w14:textId="77777777" w:rsidR="00A675F0" w:rsidRPr="00857CD5" w:rsidRDefault="00A675F0" w:rsidP="00857CD5">
                            <w:pPr>
                              <w:jc w:val="center"/>
                              <w:rPr>
                                <w:sz w:val="24"/>
                              </w:rPr>
                            </w:pPr>
                            <w:r w:rsidRPr="00857CD5">
                              <w:rPr>
                                <w:sz w:val="24"/>
                              </w:rPr>
                              <w:t>Main fermentation</w:t>
                            </w:r>
                          </w:p>
                          <w:p w14:paraId="3F246898" w14:textId="77777777" w:rsidR="00A675F0" w:rsidRPr="00857CD5" w:rsidRDefault="00A675F0" w:rsidP="00857CD5">
                            <w:pPr>
                              <w:jc w:val="center"/>
                              <w:rPr>
                                <w:sz w:val="24"/>
                              </w:rPr>
                            </w:pPr>
                            <w:r w:rsidRPr="00857CD5">
                              <w:rPr>
                                <w:sz w:val="24"/>
                              </w:rPr>
                              <w:t>↓</w:t>
                            </w:r>
                          </w:p>
                          <w:p w14:paraId="72CD599F" w14:textId="77777777" w:rsidR="00A675F0" w:rsidRPr="00857CD5" w:rsidRDefault="00A675F0" w:rsidP="00857CD5">
                            <w:pPr>
                              <w:jc w:val="center"/>
                              <w:rPr>
                                <w:sz w:val="24"/>
                              </w:rPr>
                            </w:pPr>
                            <w:r w:rsidRPr="00857CD5">
                              <w:rPr>
                                <w:sz w:val="24"/>
                              </w:rPr>
                              <w:t>Broth out</w:t>
                            </w:r>
                          </w:p>
                          <w:p w14:paraId="4AF410C3" w14:textId="77777777" w:rsidR="00A675F0" w:rsidRPr="00857CD5" w:rsidRDefault="00A675F0" w:rsidP="00857CD5">
                            <w:pPr>
                              <w:jc w:val="center"/>
                              <w:rPr>
                                <w:sz w:val="24"/>
                              </w:rPr>
                            </w:pPr>
                            <w:r w:rsidRPr="00857CD5">
                              <w:rPr>
                                <w:sz w:val="24"/>
                              </w:rPr>
                              <w:t>↓</w:t>
                            </w:r>
                          </w:p>
                          <w:p w14:paraId="1033E72E" w14:textId="77777777" w:rsidR="00A675F0" w:rsidRPr="00857CD5" w:rsidRDefault="00A675F0" w:rsidP="00857CD5">
                            <w:pPr>
                              <w:jc w:val="center"/>
                              <w:rPr>
                                <w:sz w:val="24"/>
                              </w:rPr>
                            </w:pPr>
                            <w:r w:rsidRPr="00857CD5">
                              <w:rPr>
                                <w:sz w:val="24"/>
                              </w:rPr>
                              <w:t>Purification</w:t>
                            </w:r>
                          </w:p>
                          <w:p w14:paraId="32387720" w14:textId="77777777" w:rsidR="00A675F0" w:rsidRPr="00857CD5" w:rsidRDefault="00A675F0" w:rsidP="00857CD5">
                            <w:pPr>
                              <w:jc w:val="center"/>
                              <w:rPr>
                                <w:sz w:val="24"/>
                              </w:rPr>
                            </w:pPr>
                            <w:r w:rsidRPr="00857CD5">
                              <w:rPr>
                                <w:sz w:val="24"/>
                              </w:rPr>
                              <w:t>↓</w:t>
                            </w:r>
                          </w:p>
                          <w:p w14:paraId="3B3ECEEE" w14:textId="77777777" w:rsidR="00A675F0" w:rsidRPr="00857CD5" w:rsidRDefault="00A675F0" w:rsidP="00857CD5">
                            <w:pPr>
                              <w:jc w:val="center"/>
                              <w:rPr>
                                <w:sz w:val="24"/>
                              </w:rPr>
                            </w:pPr>
                            <w:r w:rsidRPr="00857CD5">
                              <w:rPr>
                                <w:sz w:val="24"/>
                              </w:rPr>
                              <w:t>Desalting / Concentration</w:t>
                            </w:r>
                          </w:p>
                          <w:p w14:paraId="73956529" w14:textId="77777777" w:rsidR="00A675F0" w:rsidRPr="00857CD5" w:rsidRDefault="00A675F0" w:rsidP="00857CD5">
                            <w:pPr>
                              <w:jc w:val="center"/>
                              <w:rPr>
                                <w:sz w:val="24"/>
                              </w:rPr>
                            </w:pPr>
                            <w:r w:rsidRPr="00857CD5">
                              <w:rPr>
                                <w:sz w:val="24"/>
                              </w:rPr>
                              <w:t>↓</w:t>
                            </w:r>
                          </w:p>
                          <w:p w14:paraId="4556DAE4" w14:textId="77777777" w:rsidR="00A675F0" w:rsidRPr="00857CD5" w:rsidRDefault="00A675F0" w:rsidP="00857CD5">
                            <w:pPr>
                              <w:jc w:val="center"/>
                              <w:rPr>
                                <w:sz w:val="24"/>
                              </w:rPr>
                            </w:pPr>
                            <w:r w:rsidRPr="00857CD5">
                              <w:rPr>
                                <w:sz w:val="24"/>
                              </w:rPr>
                              <w:t>Filtration / Purification with column chromatography</w:t>
                            </w:r>
                          </w:p>
                          <w:p w14:paraId="3018468E" w14:textId="77777777" w:rsidR="00A675F0" w:rsidRPr="00857CD5" w:rsidRDefault="00A675F0" w:rsidP="00857CD5">
                            <w:pPr>
                              <w:jc w:val="center"/>
                              <w:rPr>
                                <w:sz w:val="24"/>
                              </w:rPr>
                            </w:pPr>
                            <w:r w:rsidRPr="00857CD5">
                              <w:rPr>
                                <w:sz w:val="24"/>
                              </w:rPr>
                              <w:t>↓</w:t>
                            </w:r>
                          </w:p>
                          <w:p w14:paraId="2E577461" w14:textId="77777777" w:rsidR="00A675F0" w:rsidRPr="00857CD5" w:rsidRDefault="00A675F0" w:rsidP="00857CD5">
                            <w:pPr>
                              <w:jc w:val="center"/>
                              <w:rPr>
                                <w:sz w:val="24"/>
                              </w:rPr>
                            </w:pPr>
                            <w:r w:rsidRPr="00857CD5">
                              <w:rPr>
                                <w:sz w:val="24"/>
                              </w:rPr>
                              <w:t>Micro-filtration</w:t>
                            </w:r>
                          </w:p>
                          <w:p w14:paraId="6C1868F4" w14:textId="77777777" w:rsidR="00A675F0" w:rsidRPr="00857CD5" w:rsidRDefault="00A675F0" w:rsidP="00857CD5">
                            <w:pPr>
                              <w:jc w:val="center"/>
                              <w:rPr>
                                <w:sz w:val="24"/>
                              </w:rPr>
                            </w:pPr>
                            <w:r w:rsidRPr="00857CD5">
                              <w:rPr>
                                <w:sz w:val="24"/>
                              </w:rPr>
                              <w:t>↓</w:t>
                            </w:r>
                          </w:p>
                          <w:p w14:paraId="7F7F4FEC" w14:textId="77777777" w:rsidR="00A675F0" w:rsidRPr="00857CD5" w:rsidRDefault="00A675F0" w:rsidP="00857CD5">
                            <w:pPr>
                              <w:jc w:val="center"/>
                              <w:rPr>
                                <w:sz w:val="24"/>
                              </w:rPr>
                            </w:pPr>
                            <w:r w:rsidRPr="00857CD5">
                              <w:rPr>
                                <w:sz w:val="24"/>
                              </w:rPr>
                              <w:t>Spray drying</w:t>
                            </w:r>
                          </w:p>
                          <w:p w14:paraId="522A1788" w14:textId="77777777" w:rsidR="00A675F0" w:rsidRPr="00857CD5" w:rsidRDefault="00A675F0" w:rsidP="00857CD5">
                            <w:pPr>
                              <w:jc w:val="center"/>
                              <w:rPr>
                                <w:sz w:val="24"/>
                              </w:rPr>
                            </w:pPr>
                            <w:r w:rsidRPr="00857CD5">
                              <w:rPr>
                                <w:sz w:val="24"/>
                              </w:rPr>
                              <w:t>↓</w:t>
                            </w:r>
                          </w:p>
                          <w:p w14:paraId="33D58D8E" w14:textId="77777777" w:rsidR="00A675F0" w:rsidRPr="00857CD5" w:rsidRDefault="00A675F0" w:rsidP="00B519FC">
                            <w:pPr>
                              <w:jc w:val="center"/>
                              <w:rPr>
                                <w:sz w:val="24"/>
                              </w:rPr>
                            </w:pPr>
                            <w:r w:rsidRPr="00857CD5">
                              <w:rPr>
                                <w:sz w:val="24"/>
                              </w:rPr>
                              <w:t>Protein glutaminase Enzyme Powder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30172D" id="_x0000_t202" coordsize="21600,21600" o:spt="202" path="m,l,21600r21600,l21600,xe">
                <v:stroke joinstyle="miter"/>
                <v:path gradientshapeok="t" o:connecttype="rect"/>
              </v:shapetype>
              <v:shape id="Text Box 2" o:spid="_x0000_s1026" type="#_x0000_t202" style="width:303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dyQwIAAIEEAAAOAAAAZHJzL2Uyb0RvYy54bWysVE2P2jAQvVfqf7B8Lwkfu4WIsKKsqCqh&#10;3ZWg2rNxbBLV8bi2IaG/vmOHsGjbU9WLGc+8jOe9mWH+0NaKnIR1FeicDgcpJUJzKCp9yOn33frT&#10;lBLnmS6YAi1yehaOPiw+fpg3JhMjKEEVwhJMol3WmJyW3pssSRwvRc3cAIzQGJRga+bxag9JYVmD&#10;2WuVjNL0PmnAFsYCF86h97EL0kXML6Xg/llKJzxROcXafDxtPPfhTBZzlh0sM2XFL2Wwf6iiZpXG&#10;R6+pHpln5GirP1LVFbfgQPoBhzoBKSsuIgdkM0zfsdmWzIjIBcVx5iqT+39p+dPpxZKqyOmIEs1q&#10;bNFOtJ58gZaMgjqNcRmCtgZhvkU3drn3O3QG0q20dfhFOgTjqPP5qm1IxtE5nk6mwxRDHGPj8Syd&#10;4QXzJ2+fG+v8VwE1CUZOLTYvaspOG+c7aA8Jr2lYV0rFBipNmpzej+/S+IEDVRUhGGDhk5Wy5MRw&#10;BPaK8R+XZ29QWITSWEsg25EKlm/3bZTmSngPxRl1sNDNkTN8XWH6DXP+hVkcHOSHy+Cf8ZAKsCa4&#10;WJSUYH/9zR/w2E+MUtLgIObU/TwyKyhR3zR2ejacTMLkxsvk7vMIL/Y2sr+N6GO9AiQ6xLUzPJoB&#10;71VvSgv1K+7MMryKIaY5vp1T35sr360H7hwXy2UE4awa5jd6a3hI3cu6a1+ZNZd2eez0E/Qjy7J3&#10;XeuwXd+WRw+yii0NOneqXuTHOY9DcdnJsEi394h6++dY/AYAAP//AwBQSwMEFAAGAAgAAAAhAFyM&#10;bMXdAAAABQEAAA8AAABkcnMvZG93bnJldi54bWxMj81OwzAQhO9IvIO1SNyozU9TFOJUCNEDEkJq&#10;QS1HJ16SCHsdYjcNPD0LF7iMNJrVzLfFcvJOjDjELpCG85kCgVQH21Gj4eV5dXYNIiZD1rhAqOET&#10;IyzL46PC5DYcaI3jJjWCSyjmRkObUp9LGesWvYmz0CNx9hYGbxLboZF2MAcu905eKJVJbzrihdb0&#10;eNdi/b7Zew2P293H/erpVe2wct18dIv24avS+vRkur0BkXBKf8fwg8/oUDJTFfZko3Aa+JH0q5xl&#10;KmNbaZhfXimQZSH/05ffAAAA//8DAFBLAQItABQABgAIAAAAIQC2gziS/gAAAOEBAAATAAAAAAAA&#10;AAAAAAAAAAAAAABbQ29udGVudF9UeXBlc10ueG1sUEsBAi0AFAAGAAgAAAAhADj9If/WAAAAlAEA&#10;AAsAAAAAAAAAAAAAAAAALwEAAF9yZWxzLy5yZWxzUEsBAi0AFAAGAAgAAAAhAA/ZF3JDAgAAgQQA&#10;AA4AAAAAAAAAAAAAAAAALgIAAGRycy9lMm9Eb2MueG1sUEsBAi0AFAAGAAgAAAAhAFyMbMXdAAAA&#10;BQEAAA8AAAAAAAAAAAAAAAAAnQQAAGRycy9kb3ducmV2LnhtbFBLBQYAAAAABAAEAPMAAACnBQAA&#10;AAA=&#10;" filled="f" strokeweight=".5pt">
                <v:textbox>
                  <w:txbxContent>
                    <w:p w14:paraId="3E35921C" w14:textId="77777777" w:rsidR="00A675F0" w:rsidRPr="00857CD5" w:rsidRDefault="00A675F0" w:rsidP="00857CD5">
                      <w:pPr>
                        <w:jc w:val="center"/>
                        <w:rPr>
                          <w:sz w:val="24"/>
                        </w:rPr>
                      </w:pPr>
                      <w:r w:rsidRPr="00857CD5">
                        <w:rPr>
                          <w:sz w:val="24"/>
                        </w:rPr>
                        <w:t>Production strain</w:t>
                      </w:r>
                    </w:p>
                    <w:p w14:paraId="28330E99" w14:textId="77777777" w:rsidR="00A675F0" w:rsidRPr="00857CD5" w:rsidRDefault="00A675F0" w:rsidP="00857CD5">
                      <w:pPr>
                        <w:jc w:val="center"/>
                        <w:rPr>
                          <w:sz w:val="24"/>
                        </w:rPr>
                      </w:pPr>
                      <w:r w:rsidRPr="00857CD5">
                        <w:rPr>
                          <w:sz w:val="24"/>
                        </w:rPr>
                        <w:t>↓</w:t>
                      </w:r>
                    </w:p>
                    <w:p w14:paraId="49C3BDF3" w14:textId="77777777" w:rsidR="00A675F0" w:rsidRPr="00857CD5" w:rsidRDefault="00A675F0" w:rsidP="00857CD5">
                      <w:pPr>
                        <w:jc w:val="center"/>
                        <w:rPr>
                          <w:sz w:val="24"/>
                        </w:rPr>
                      </w:pPr>
                      <w:r w:rsidRPr="00857CD5">
                        <w:rPr>
                          <w:sz w:val="24"/>
                        </w:rPr>
                        <w:t>Pre fermentation</w:t>
                      </w:r>
                    </w:p>
                    <w:p w14:paraId="755B0038" w14:textId="77777777" w:rsidR="00A675F0" w:rsidRPr="00857CD5" w:rsidRDefault="00A675F0" w:rsidP="00857CD5">
                      <w:pPr>
                        <w:jc w:val="center"/>
                        <w:rPr>
                          <w:sz w:val="24"/>
                        </w:rPr>
                      </w:pPr>
                      <w:r w:rsidRPr="00857CD5">
                        <w:rPr>
                          <w:sz w:val="24"/>
                        </w:rPr>
                        <w:t>Main fermentation</w:t>
                      </w:r>
                    </w:p>
                    <w:p w14:paraId="3F246898" w14:textId="77777777" w:rsidR="00A675F0" w:rsidRPr="00857CD5" w:rsidRDefault="00A675F0" w:rsidP="00857CD5">
                      <w:pPr>
                        <w:jc w:val="center"/>
                        <w:rPr>
                          <w:sz w:val="24"/>
                        </w:rPr>
                      </w:pPr>
                      <w:r w:rsidRPr="00857CD5">
                        <w:rPr>
                          <w:sz w:val="24"/>
                        </w:rPr>
                        <w:t>↓</w:t>
                      </w:r>
                    </w:p>
                    <w:p w14:paraId="72CD599F" w14:textId="77777777" w:rsidR="00A675F0" w:rsidRPr="00857CD5" w:rsidRDefault="00A675F0" w:rsidP="00857CD5">
                      <w:pPr>
                        <w:jc w:val="center"/>
                        <w:rPr>
                          <w:sz w:val="24"/>
                        </w:rPr>
                      </w:pPr>
                      <w:r w:rsidRPr="00857CD5">
                        <w:rPr>
                          <w:sz w:val="24"/>
                        </w:rPr>
                        <w:t>Broth out</w:t>
                      </w:r>
                    </w:p>
                    <w:p w14:paraId="4AF410C3" w14:textId="77777777" w:rsidR="00A675F0" w:rsidRPr="00857CD5" w:rsidRDefault="00A675F0" w:rsidP="00857CD5">
                      <w:pPr>
                        <w:jc w:val="center"/>
                        <w:rPr>
                          <w:sz w:val="24"/>
                        </w:rPr>
                      </w:pPr>
                      <w:r w:rsidRPr="00857CD5">
                        <w:rPr>
                          <w:sz w:val="24"/>
                        </w:rPr>
                        <w:t>↓</w:t>
                      </w:r>
                    </w:p>
                    <w:p w14:paraId="1033E72E" w14:textId="77777777" w:rsidR="00A675F0" w:rsidRPr="00857CD5" w:rsidRDefault="00A675F0" w:rsidP="00857CD5">
                      <w:pPr>
                        <w:jc w:val="center"/>
                        <w:rPr>
                          <w:sz w:val="24"/>
                        </w:rPr>
                      </w:pPr>
                      <w:r w:rsidRPr="00857CD5">
                        <w:rPr>
                          <w:sz w:val="24"/>
                        </w:rPr>
                        <w:t>Purification</w:t>
                      </w:r>
                    </w:p>
                    <w:p w14:paraId="32387720" w14:textId="77777777" w:rsidR="00A675F0" w:rsidRPr="00857CD5" w:rsidRDefault="00A675F0" w:rsidP="00857CD5">
                      <w:pPr>
                        <w:jc w:val="center"/>
                        <w:rPr>
                          <w:sz w:val="24"/>
                        </w:rPr>
                      </w:pPr>
                      <w:r w:rsidRPr="00857CD5">
                        <w:rPr>
                          <w:sz w:val="24"/>
                        </w:rPr>
                        <w:t>↓</w:t>
                      </w:r>
                    </w:p>
                    <w:p w14:paraId="3B3ECEEE" w14:textId="77777777" w:rsidR="00A675F0" w:rsidRPr="00857CD5" w:rsidRDefault="00A675F0" w:rsidP="00857CD5">
                      <w:pPr>
                        <w:jc w:val="center"/>
                        <w:rPr>
                          <w:sz w:val="24"/>
                        </w:rPr>
                      </w:pPr>
                      <w:r w:rsidRPr="00857CD5">
                        <w:rPr>
                          <w:sz w:val="24"/>
                        </w:rPr>
                        <w:t>Desalting / Concentration</w:t>
                      </w:r>
                    </w:p>
                    <w:p w14:paraId="73956529" w14:textId="77777777" w:rsidR="00A675F0" w:rsidRPr="00857CD5" w:rsidRDefault="00A675F0" w:rsidP="00857CD5">
                      <w:pPr>
                        <w:jc w:val="center"/>
                        <w:rPr>
                          <w:sz w:val="24"/>
                        </w:rPr>
                      </w:pPr>
                      <w:r w:rsidRPr="00857CD5">
                        <w:rPr>
                          <w:sz w:val="24"/>
                        </w:rPr>
                        <w:t>↓</w:t>
                      </w:r>
                    </w:p>
                    <w:p w14:paraId="4556DAE4" w14:textId="77777777" w:rsidR="00A675F0" w:rsidRPr="00857CD5" w:rsidRDefault="00A675F0" w:rsidP="00857CD5">
                      <w:pPr>
                        <w:jc w:val="center"/>
                        <w:rPr>
                          <w:sz w:val="24"/>
                        </w:rPr>
                      </w:pPr>
                      <w:r w:rsidRPr="00857CD5">
                        <w:rPr>
                          <w:sz w:val="24"/>
                        </w:rPr>
                        <w:t>Filtration / Purification with column chromatography</w:t>
                      </w:r>
                    </w:p>
                    <w:p w14:paraId="3018468E" w14:textId="77777777" w:rsidR="00A675F0" w:rsidRPr="00857CD5" w:rsidRDefault="00A675F0" w:rsidP="00857CD5">
                      <w:pPr>
                        <w:jc w:val="center"/>
                        <w:rPr>
                          <w:sz w:val="24"/>
                        </w:rPr>
                      </w:pPr>
                      <w:r w:rsidRPr="00857CD5">
                        <w:rPr>
                          <w:sz w:val="24"/>
                        </w:rPr>
                        <w:t>↓</w:t>
                      </w:r>
                    </w:p>
                    <w:p w14:paraId="2E577461" w14:textId="77777777" w:rsidR="00A675F0" w:rsidRPr="00857CD5" w:rsidRDefault="00A675F0" w:rsidP="00857CD5">
                      <w:pPr>
                        <w:jc w:val="center"/>
                        <w:rPr>
                          <w:sz w:val="24"/>
                        </w:rPr>
                      </w:pPr>
                      <w:r w:rsidRPr="00857CD5">
                        <w:rPr>
                          <w:sz w:val="24"/>
                        </w:rPr>
                        <w:t>Micro-filtration</w:t>
                      </w:r>
                    </w:p>
                    <w:p w14:paraId="6C1868F4" w14:textId="77777777" w:rsidR="00A675F0" w:rsidRPr="00857CD5" w:rsidRDefault="00A675F0" w:rsidP="00857CD5">
                      <w:pPr>
                        <w:jc w:val="center"/>
                        <w:rPr>
                          <w:sz w:val="24"/>
                        </w:rPr>
                      </w:pPr>
                      <w:r w:rsidRPr="00857CD5">
                        <w:rPr>
                          <w:sz w:val="24"/>
                        </w:rPr>
                        <w:t>↓</w:t>
                      </w:r>
                    </w:p>
                    <w:p w14:paraId="7F7F4FEC" w14:textId="77777777" w:rsidR="00A675F0" w:rsidRPr="00857CD5" w:rsidRDefault="00A675F0" w:rsidP="00857CD5">
                      <w:pPr>
                        <w:jc w:val="center"/>
                        <w:rPr>
                          <w:sz w:val="24"/>
                        </w:rPr>
                      </w:pPr>
                      <w:r w:rsidRPr="00857CD5">
                        <w:rPr>
                          <w:sz w:val="24"/>
                        </w:rPr>
                        <w:t>Spray drying</w:t>
                      </w:r>
                    </w:p>
                    <w:p w14:paraId="522A1788" w14:textId="77777777" w:rsidR="00A675F0" w:rsidRPr="00857CD5" w:rsidRDefault="00A675F0" w:rsidP="00857CD5">
                      <w:pPr>
                        <w:jc w:val="center"/>
                        <w:rPr>
                          <w:sz w:val="24"/>
                        </w:rPr>
                      </w:pPr>
                      <w:r w:rsidRPr="00857CD5">
                        <w:rPr>
                          <w:sz w:val="24"/>
                        </w:rPr>
                        <w:t>↓</w:t>
                      </w:r>
                    </w:p>
                    <w:p w14:paraId="33D58D8E" w14:textId="77777777" w:rsidR="00A675F0" w:rsidRPr="00857CD5" w:rsidRDefault="00A675F0" w:rsidP="00B519FC">
                      <w:pPr>
                        <w:jc w:val="center"/>
                        <w:rPr>
                          <w:sz w:val="24"/>
                        </w:rPr>
                      </w:pPr>
                      <w:r w:rsidRPr="00857CD5">
                        <w:rPr>
                          <w:sz w:val="24"/>
                        </w:rPr>
                        <w:t>Protein glutaminase Enzyme Powder</w:t>
                      </w:r>
                    </w:p>
                  </w:txbxContent>
                </v:textbox>
                <w10:anchorlock/>
              </v:shape>
            </w:pict>
          </mc:Fallback>
        </mc:AlternateContent>
      </w:r>
    </w:p>
    <w:p w14:paraId="0CCB15FA" w14:textId="77777777" w:rsidR="00CE31A1" w:rsidRDefault="00CE31A1" w:rsidP="001756E5">
      <w:pPr>
        <w:pStyle w:val="FSFigureTitle"/>
        <w:rPr>
          <w:b/>
        </w:rPr>
      </w:pPr>
    </w:p>
    <w:p w14:paraId="0780294B" w14:textId="77777777" w:rsidR="001756E5" w:rsidRPr="00857CD5" w:rsidRDefault="001756E5" w:rsidP="001756E5">
      <w:pPr>
        <w:pStyle w:val="FSFigureTitle"/>
      </w:pPr>
      <w:r w:rsidRPr="00857CD5">
        <w:rPr>
          <w:b/>
        </w:rPr>
        <w:t xml:space="preserve">Fig 3: </w:t>
      </w:r>
      <w:r w:rsidRPr="00857CD5">
        <w:t>Manufacturing Process for Protein glutaminase</w:t>
      </w:r>
    </w:p>
    <w:p w14:paraId="7730966E" w14:textId="27990FE0" w:rsidR="00857CD5" w:rsidRDefault="00857CD5" w:rsidP="00857CD5"/>
    <w:p w14:paraId="754003D8" w14:textId="130F01DF" w:rsidR="00857CD5" w:rsidRPr="00857CD5" w:rsidRDefault="00857CD5" w:rsidP="00857CD5">
      <w:r w:rsidRPr="00857CD5">
        <w:t>The Protein glutaminase Enzyme Powder</w:t>
      </w:r>
      <w:r w:rsidR="006D02E2">
        <w:t xml:space="preserve"> </w:t>
      </w:r>
      <w:r w:rsidR="00FB5527">
        <w:t>blended with Cassava</w:t>
      </w:r>
      <w:r w:rsidRPr="00857CD5">
        <w:t xml:space="preserve"> dextrin is available in different grades, depending on the rati</w:t>
      </w:r>
      <w:r>
        <w:t xml:space="preserve">o of enzyme powder to dextrin. </w:t>
      </w:r>
      <w:r w:rsidRPr="00857CD5">
        <w:t>A 100% Protein glutaminase Enzyme Powder is also available.</w:t>
      </w:r>
    </w:p>
    <w:p w14:paraId="33E0633D" w14:textId="6FD8C450" w:rsidR="00857CD5" w:rsidRPr="00857CD5" w:rsidRDefault="00FD462C" w:rsidP="006A726E">
      <w:pPr>
        <w:pStyle w:val="Heading3"/>
      </w:pPr>
      <w:bookmarkStart w:id="29" w:name="_Toc485893676"/>
      <w:bookmarkStart w:id="30" w:name="_Toc492456026"/>
      <w:r>
        <w:t>2.6</w:t>
      </w:r>
      <w:r w:rsidR="00857CD5" w:rsidRPr="00857CD5">
        <w:tab/>
        <w:t>Product specification</w:t>
      </w:r>
      <w:bookmarkEnd w:id="29"/>
      <w:bookmarkEnd w:id="30"/>
    </w:p>
    <w:p w14:paraId="424BF90C" w14:textId="1735A9EE" w:rsidR="00857CD5" w:rsidRDefault="00857CD5" w:rsidP="00857CD5">
      <w:r w:rsidRPr="00857CD5">
        <w:t>There are international specifications for enzyme preparations used in the production of food. These have been established by the Joint FAO/WHO Expert Committee on Food Additives (JECFA) in its Compendium of Food Additive Specifications (JECFA 2016) and in the Food Chemicals Codex (Food Chemicals Codex 2014). These primary sources of specifications are listed in section S3—2 of Schedule 3 (Identity and Purity) of the Code. Enzyme preparations need to meet these enzyme specifications. Schedule 3 of the Code also includes specifications for heavy metals (section S3—4) if they are not included within specifications in sections S3—2 and S3—3.4.3 Chemical and Microbiological Specification. Table 2 shows the chemical and microbiological specifications for protein glutaminase, compared to three different production batches.</w:t>
      </w:r>
    </w:p>
    <w:p w14:paraId="00C4D60C" w14:textId="16858F51" w:rsidR="00857CD5" w:rsidRDefault="00857CD5">
      <w:pPr>
        <w:widowControl/>
      </w:pPr>
      <w:r>
        <w:br w:type="page"/>
      </w:r>
    </w:p>
    <w:p w14:paraId="4F86956A" w14:textId="18A78057" w:rsidR="00857CD5" w:rsidRPr="00857CD5" w:rsidRDefault="00857CD5" w:rsidP="006C6646">
      <w:pPr>
        <w:pStyle w:val="FSTableTitle"/>
      </w:pPr>
      <w:r w:rsidRPr="00857CD5">
        <w:lastRenderedPageBreak/>
        <w:t>Table 2</w:t>
      </w:r>
      <w:r w:rsidRPr="00857CD5">
        <w:tab/>
        <w:t>Chemical and microbiological specification for protein glutaminase</w:t>
      </w:r>
    </w:p>
    <w:tbl>
      <w:tblPr>
        <w:tblW w:w="5000" w:type="pct"/>
        <w:tblLook w:val="04A0" w:firstRow="1" w:lastRow="0" w:firstColumn="1" w:lastColumn="0" w:noHBand="0" w:noVBand="1"/>
      </w:tblPr>
      <w:tblGrid>
        <w:gridCol w:w="3192"/>
        <w:gridCol w:w="1629"/>
        <w:gridCol w:w="1592"/>
        <w:gridCol w:w="1437"/>
        <w:gridCol w:w="1436"/>
      </w:tblGrid>
      <w:tr w:rsidR="00857CD5" w:rsidRPr="00857CD5" w14:paraId="25D1E550" w14:textId="77777777" w:rsidTr="001756E5">
        <w:trPr>
          <w:trHeight w:val="372"/>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D780" w14:textId="77777777" w:rsidR="00857CD5" w:rsidRPr="00857CD5" w:rsidRDefault="00857CD5" w:rsidP="00857CD5">
            <w:pPr>
              <w:rPr>
                <w:lang w:val="en-NZ"/>
              </w:rPr>
            </w:pPr>
            <w:r w:rsidRPr="00857CD5">
              <w:rPr>
                <w:lang w:val="en-NZ"/>
              </w:rPr>
              <w:t> </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14:paraId="2F3E3B18" w14:textId="77777777" w:rsidR="00857CD5" w:rsidRPr="00857CD5" w:rsidRDefault="00857CD5" w:rsidP="00857CD5">
            <w:pPr>
              <w:rPr>
                <w:lang w:val="en-NZ"/>
              </w:rPr>
            </w:pPr>
            <w:r w:rsidRPr="00857CD5">
              <w:rPr>
                <w:lang w:val="en-NZ"/>
              </w:rPr>
              <w:t>Specification</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016DC949" w14:textId="77777777" w:rsidR="00857CD5" w:rsidRPr="00857CD5" w:rsidRDefault="00857CD5" w:rsidP="00857CD5">
            <w:pPr>
              <w:rPr>
                <w:lang w:val="en-NZ"/>
              </w:rPr>
            </w:pPr>
            <w:r w:rsidRPr="00857CD5">
              <w:rPr>
                <w:lang w:val="en-NZ"/>
              </w:rPr>
              <w:t>Batch 1</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6BCFA685" w14:textId="77777777" w:rsidR="00857CD5" w:rsidRPr="00857CD5" w:rsidRDefault="00857CD5" w:rsidP="00857CD5">
            <w:pPr>
              <w:rPr>
                <w:lang w:val="en-NZ"/>
              </w:rPr>
            </w:pPr>
            <w:r w:rsidRPr="00857CD5">
              <w:rPr>
                <w:lang w:val="en-NZ"/>
              </w:rPr>
              <w:t>Batch 2</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18343495" w14:textId="77777777" w:rsidR="00857CD5" w:rsidRPr="00857CD5" w:rsidRDefault="00857CD5" w:rsidP="00857CD5">
            <w:pPr>
              <w:rPr>
                <w:lang w:val="en-NZ"/>
              </w:rPr>
            </w:pPr>
            <w:r w:rsidRPr="00857CD5">
              <w:rPr>
                <w:lang w:val="en-NZ"/>
              </w:rPr>
              <w:t>Batch 3</w:t>
            </w:r>
          </w:p>
        </w:tc>
      </w:tr>
      <w:tr w:rsidR="00857CD5" w:rsidRPr="00857CD5" w14:paraId="232239C2" w14:textId="77777777" w:rsidTr="001756E5">
        <w:trPr>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56F5D9" w14:textId="77777777" w:rsidR="00857CD5" w:rsidRPr="00857CD5" w:rsidRDefault="00857CD5" w:rsidP="00857CD5">
            <w:pPr>
              <w:rPr>
                <w:lang w:val="en-NZ"/>
              </w:rPr>
            </w:pPr>
            <w:r w:rsidRPr="00857CD5">
              <w:rPr>
                <w:lang w:val="en-NZ"/>
              </w:rPr>
              <w:t>Metals</w:t>
            </w:r>
          </w:p>
        </w:tc>
      </w:tr>
      <w:tr w:rsidR="00857CD5" w:rsidRPr="00857CD5" w14:paraId="013028F1" w14:textId="77777777" w:rsidTr="001756E5">
        <w:trPr>
          <w:trHeight w:val="390"/>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730E9C98" w14:textId="77777777" w:rsidR="00857CD5" w:rsidRPr="00857CD5" w:rsidRDefault="00857CD5" w:rsidP="00857CD5">
            <w:pPr>
              <w:rPr>
                <w:lang w:val="en-NZ"/>
              </w:rPr>
            </w:pPr>
            <w:r w:rsidRPr="00857CD5">
              <w:rPr>
                <w:lang w:val="en-NZ"/>
              </w:rPr>
              <w:t>Lead (mg/kg)</w:t>
            </w:r>
          </w:p>
        </w:tc>
        <w:tc>
          <w:tcPr>
            <w:tcW w:w="877" w:type="pct"/>
            <w:tcBorders>
              <w:top w:val="nil"/>
              <w:left w:val="nil"/>
              <w:bottom w:val="single" w:sz="4" w:space="0" w:color="auto"/>
              <w:right w:val="single" w:sz="4" w:space="0" w:color="auto"/>
            </w:tcBorders>
            <w:shd w:val="clear" w:color="auto" w:fill="auto"/>
            <w:noWrap/>
            <w:vAlign w:val="center"/>
            <w:hideMark/>
          </w:tcPr>
          <w:p w14:paraId="129A68A2" w14:textId="77777777" w:rsidR="00857CD5" w:rsidRPr="00857CD5" w:rsidRDefault="00857CD5" w:rsidP="00857CD5">
            <w:pPr>
              <w:rPr>
                <w:lang w:val="en-NZ"/>
              </w:rPr>
            </w:pPr>
            <w:r w:rsidRPr="00857CD5">
              <w:rPr>
                <w:lang w:val="en-NZ"/>
              </w:rPr>
              <w:t xml:space="preserve">≤ 5 </w:t>
            </w:r>
          </w:p>
        </w:tc>
        <w:tc>
          <w:tcPr>
            <w:tcW w:w="857" w:type="pct"/>
            <w:tcBorders>
              <w:top w:val="nil"/>
              <w:left w:val="nil"/>
              <w:bottom w:val="single" w:sz="4" w:space="0" w:color="auto"/>
              <w:right w:val="single" w:sz="4" w:space="0" w:color="auto"/>
            </w:tcBorders>
            <w:shd w:val="clear" w:color="auto" w:fill="auto"/>
            <w:noWrap/>
            <w:vAlign w:val="center"/>
            <w:hideMark/>
          </w:tcPr>
          <w:p w14:paraId="48ACDA9B" w14:textId="77777777" w:rsidR="00857CD5" w:rsidRPr="00857CD5" w:rsidRDefault="00857CD5" w:rsidP="00857CD5">
            <w:pPr>
              <w:rPr>
                <w:lang w:val="en-NZ"/>
              </w:rPr>
            </w:pPr>
            <w:r w:rsidRPr="00857CD5">
              <w:rPr>
                <w:lang w:val="en-NZ"/>
              </w:rPr>
              <w:t>0.01</w:t>
            </w:r>
          </w:p>
        </w:tc>
        <w:tc>
          <w:tcPr>
            <w:tcW w:w="774" w:type="pct"/>
            <w:tcBorders>
              <w:top w:val="nil"/>
              <w:left w:val="nil"/>
              <w:bottom w:val="single" w:sz="4" w:space="0" w:color="auto"/>
              <w:right w:val="single" w:sz="4" w:space="0" w:color="auto"/>
            </w:tcBorders>
            <w:shd w:val="clear" w:color="auto" w:fill="auto"/>
            <w:noWrap/>
            <w:vAlign w:val="center"/>
            <w:hideMark/>
          </w:tcPr>
          <w:p w14:paraId="2A4B384A" w14:textId="77777777" w:rsidR="00857CD5" w:rsidRPr="00857CD5" w:rsidRDefault="00857CD5" w:rsidP="00857CD5">
            <w:pPr>
              <w:rPr>
                <w:lang w:val="en-NZ"/>
              </w:rPr>
            </w:pPr>
            <w:r w:rsidRPr="00857CD5">
              <w:rPr>
                <w:lang w:val="en-NZ"/>
              </w:rPr>
              <w:t>0.03</w:t>
            </w:r>
          </w:p>
        </w:tc>
        <w:tc>
          <w:tcPr>
            <w:tcW w:w="774" w:type="pct"/>
            <w:tcBorders>
              <w:top w:val="nil"/>
              <w:left w:val="nil"/>
              <w:bottom w:val="single" w:sz="4" w:space="0" w:color="auto"/>
              <w:right w:val="single" w:sz="4" w:space="0" w:color="auto"/>
            </w:tcBorders>
            <w:shd w:val="clear" w:color="auto" w:fill="auto"/>
            <w:noWrap/>
            <w:vAlign w:val="center"/>
            <w:hideMark/>
          </w:tcPr>
          <w:p w14:paraId="22BB2967" w14:textId="77777777" w:rsidR="00857CD5" w:rsidRPr="00857CD5" w:rsidRDefault="00857CD5" w:rsidP="00857CD5">
            <w:pPr>
              <w:rPr>
                <w:lang w:val="en-NZ"/>
              </w:rPr>
            </w:pPr>
            <w:r w:rsidRPr="00857CD5">
              <w:rPr>
                <w:lang w:val="en-NZ"/>
              </w:rPr>
              <w:t>0.01</w:t>
            </w:r>
          </w:p>
        </w:tc>
      </w:tr>
      <w:tr w:rsidR="00857CD5" w:rsidRPr="00857CD5" w14:paraId="0E863A76" w14:textId="77777777" w:rsidTr="001756E5">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9F54D5" w14:textId="77777777" w:rsidR="00857CD5" w:rsidRPr="00857CD5" w:rsidRDefault="00857CD5" w:rsidP="00857CD5">
            <w:pPr>
              <w:rPr>
                <w:lang w:val="en-NZ"/>
              </w:rPr>
            </w:pPr>
            <w:r w:rsidRPr="00857CD5">
              <w:rPr>
                <w:lang w:val="en-NZ"/>
              </w:rPr>
              <w:t>Microbiological</w:t>
            </w:r>
          </w:p>
        </w:tc>
      </w:tr>
      <w:tr w:rsidR="00857CD5" w:rsidRPr="00857CD5" w14:paraId="4D38C653" w14:textId="77777777" w:rsidTr="001756E5">
        <w:trPr>
          <w:trHeight w:val="34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4E7D7FFE" w14:textId="77777777" w:rsidR="00857CD5" w:rsidRPr="00857CD5" w:rsidRDefault="00857CD5" w:rsidP="00857CD5">
            <w:pPr>
              <w:rPr>
                <w:lang w:val="en-NZ"/>
              </w:rPr>
            </w:pPr>
            <w:r w:rsidRPr="00857CD5">
              <w:rPr>
                <w:i/>
                <w:iCs/>
                <w:lang w:val="en-NZ"/>
              </w:rPr>
              <w:t>Salmonella</w:t>
            </w:r>
            <w:r w:rsidRPr="00857CD5">
              <w:rPr>
                <w:lang w:val="en-NZ"/>
              </w:rPr>
              <w:t xml:space="preserve"> sp.</w:t>
            </w:r>
          </w:p>
        </w:tc>
        <w:tc>
          <w:tcPr>
            <w:tcW w:w="877" w:type="pct"/>
            <w:tcBorders>
              <w:top w:val="nil"/>
              <w:left w:val="nil"/>
              <w:bottom w:val="single" w:sz="4" w:space="0" w:color="auto"/>
              <w:right w:val="single" w:sz="4" w:space="0" w:color="auto"/>
            </w:tcBorders>
            <w:shd w:val="clear" w:color="auto" w:fill="auto"/>
            <w:noWrap/>
            <w:vAlign w:val="center"/>
            <w:hideMark/>
          </w:tcPr>
          <w:p w14:paraId="3FA42188" w14:textId="77777777" w:rsidR="00857CD5" w:rsidRPr="00857CD5" w:rsidRDefault="00857CD5" w:rsidP="00857CD5">
            <w:pPr>
              <w:rPr>
                <w:lang w:val="en-NZ"/>
              </w:rPr>
            </w:pPr>
            <w:r w:rsidRPr="00857CD5">
              <w:rPr>
                <w:lang w:val="en-NZ"/>
              </w:rPr>
              <w:t>ND 25g</w:t>
            </w:r>
          </w:p>
        </w:tc>
        <w:tc>
          <w:tcPr>
            <w:tcW w:w="857" w:type="pct"/>
            <w:tcBorders>
              <w:top w:val="nil"/>
              <w:left w:val="nil"/>
              <w:bottom w:val="single" w:sz="4" w:space="0" w:color="auto"/>
              <w:right w:val="single" w:sz="4" w:space="0" w:color="auto"/>
            </w:tcBorders>
            <w:shd w:val="clear" w:color="auto" w:fill="auto"/>
            <w:noWrap/>
            <w:vAlign w:val="center"/>
            <w:hideMark/>
          </w:tcPr>
          <w:p w14:paraId="16A72FEE" w14:textId="77777777" w:rsidR="00857CD5" w:rsidRPr="00857CD5" w:rsidRDefault="00857CD5" w:rsidP="00857CD5">
            <w:pPr>
              <w:rPr>
                <w:lang w:val="en-NZ"/>
              </w:rPr>
            </w:pPr>
            <w:r w:rsidRPr="00857CD5">
              <w:rPr>
                <w:lang w:val="en-NZ"/>
              </w:rPr>
              <w:t>ND 25g</w:t>
            </w:r>
          </w:p>
        </w:tc>
        <w:tc>
          <w:tcPr>
            <w:tcW w:w="774" w:type="pct"/>
            <w:tcBorders>
              <w:top w:val="nil"/>
              <w:left w:val="nil"/>
              <w:bottom w:val="single" w:sz="4" w:space="0" w:color="auto"/>
              <w:right w:val="single" w:sz="4" w:space="0" w:color="auto"/>
            </w:tcBorders>
            <w:shd w:val="clear" w:color="auto" w:fill="auto"/>
            <w:noWrap/>
            <w:vAlign w:val="center"/>
            <w:hideMark/>
          </w:tcPr>
          <w:p w14:paraId="26E688EA" w14:textId="77777777" w:rsidR="00857CD5" w:rsidRPr="00857CD5" w:rsidRDefault="00857CD5" w:rsidP="00857CD5">
            <w:pPr>
              <w:rPr>
                <w:lang w:val="en-NZ"/>
              </w:rPr>
            </w:pPr>
            <w:r w:rsidRPr="00857CD5">
              <w:rPr>
                <w:lang w:val="en-NZ"/>
              </w:rPr>
              <w:t>ND 25g</w:t>
            </w:r>
          </w:p>
        </w:tc>
        <w:tc>
          <w:tcPr>
            <w:tcW w:w="774" w:type="pct"/>
            <w:tcBorders>
              <w:top w:val="nil"/>
              <w:left w:val="nil"/>
              <w:bottom w:val="single" w:sz="4" w:space="0" w:color="auto"/>
              <w:right w:val="single" w:sz="4" w:space="0" w:color="auto"/>
            </w:tcBorders>
            <w:shd w:val="clear" w:color="auto" w:fill="auto"/>
            <w:noWrap/>
            <w:vAlign w:val="center"/>
            <w:hideMark/>
          </w:tcPr>
          <w:p w14:paraId="751F4F79" w14:textId="77777777" w:rsidR="00857CD5" w:rsidRPr="00857CD5" w:rsidRDefault="00857CD5" w:rsidP="00857CD5">
            <w:pPr>
              <w:rPr>
                <w:lang w:val="en-NZ"/>
              </w:rPr>
            </w:pPr>
            <w:r w:rsidRPr="00857CD5">
              <w:rPr>
                <w:lang w:val="en-NZ"/>
              </w:rPr>
              <w:t>ND 25g</w:t>
            </w:r>
          </w:p>
        </w:tc>
      </w:tr>
      <w:tr w:rsidR="00857CD5" w:rsidRPr="00857CD5" w14:paraId="527E379D" w14:textId="77777777" w:rsidTr="001756E5">
        <w:trPr>
          <w:trHeight w:val="354"/>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161D3140" w14:textId="77777777" w:rsidR="00857CD5" w:rsidRPr="00857CD5" w:rsidRDefault="00857CD5" w:rsidP="00857CD5">
            <w:pPr>
              <w:rPr>
                <w:lang w:val="en-NZ"/>
              </w:rPr>
            </w:pPr>
            <w:r w:rsidRPr="00857CD5">
              <w:rPr>
                <w:lang w:val="en-NZ"/>
              </w:rPr>
              <w:t>Total coliforms (cfu/g)</w:t>
            </w:r>
          </w:p>
        </w:tc>
        <w:tc>
          <w:tcPr>
            <w:tcW w:w="877" w:type="pct"/>
            <w:tcBorders>
              <w:top w:val="nil"/>
              <w:left w:val="nil"/>
              <w:bottom w:val="single" w:sz="4" w:space="0" w:color="auto"/>
              <w:right w:val="single" w:sz="4" w:space="0" w:color="auto"/>
            </w:tcBorders>
            <w:shd w:val="clear" w:color="auto" w:fill="auto"/>
            <w:noWrap/>
            <w:vAlign w:val="center"/>
            <w:hideMark/>
          </w:tcPr>
          <w:p w14:paraId="78F72895" w14:textId="77777777" w:rsidR="00857CD5" w:rsidRPr="00857CD5" w:rsidRDefault="00857CD5" w:rsidP="00857CD5">
            <w:pPr>
              <w:rPr>
                <w:lang w:val="en-NZ"/>
              </w:rPr>
            </w:pPr>
            <w:r w:rsidRPr="00857CD5">
              <w:rPr>
                <w:lang w:val="en-NZ"/>
              </w:rPr>
              <w:t>≤ 30</w:t>
            </w:r>
          </w:p>
        </w:tc>
        <w:tc>
          <w:tcPr>
            <w:tcW w:w="857" w:type="pct"/>
            <w:tcBorders>
              <w:top w:val="nil"/>
              <w:left w:val="nil"/>
              <w:bottom w:val="single" w:sz="4" w:space="0" w:color="auto"/>
              <w:right w:val="single" w:sz="4" w:space="0" w:color="auto"/>
            </w:tcBorders>
            <w:shd w:val="clear" w:color="auto" w:fill="auto"/>
            <w:noWrap/>
            <w:vAlign w:val="center"/>
            <w:hideMark/>
          </w:tcPr>
          <w:p w14:paraId="3CDCCF25" w14:textId="77777777" w:rsidR="00857CD5" w:rsidRPr="00857CD5" w:rsidRDefault="00857CD5" w:rsidP="00857CD5">
            <w:pPr>
              <w:rPr>
                <w:lang w:val="en-NZ"/>
              </w:rPr>
            </w:pPr>
            <w:r w:rsidRPr="00857CD5">
              <w:rPr>
                <w:lang w:val="en-NZ"/>
              </w:rPr>
              <w:t>&lt; 10</w:t>
            </w:r>
          </w:p>
        </w:tc>
        <w:tc>
          <w:tcPr>
            <w:tcW w:w="774" w:type="pct"/>
            <w:tcBorders>
              <w:top w:val="nil"/>
              <w:left w:val="nil"/>
              <w:bottom w:val="single" w:sz="4" w:space="0" w:color="auto"/>
              <w:right w:val="single" w:sz="4" w:space="0" w:color="auto"/>
            </w:tcBorders>
            <w:shd w:val="clear" w:color="auto" w:fill="auto"/>
            <w:noWrap/>
            <w:vAlign w:val="center"/>
            <w:hideMark/>
          </w:tcPr>
          <w:p w14:paraId="7E039162" w14:textId="77777777" w:rsidR="00857CD5" w:rsidRPr="00857CD5" w:rsidRDefault="00857CD5" w:rsidP="00857CD5">
            <w:pPr>
              <w:rPr>
                <w:lang w:val="en-NZ"/>
              </w:rPr>
            </w:pPr>
            <w:r w:rsidRPr="00857CD5">
              <w:rPr>
                <w:lang w:val="en-NZ"/>
              </w:rPr>
              <w:t>&lt; 10</w:t>
            </w:r>
          </w:p>
        </w:tc>
        <w:tc>
          <w:tcPr>
            <w:tcW w:w="774" w:type="pct"/>
            <w:tcBorders>
              <w:top w:val="nil"/>
              <w:left w:val="nil"/>
              <w:bottom w:val="single" w:sz="4" w:space="0" w:color="auto"/>
              <w:right w:val="single" w:sz="4" w:space="0" w:color="auto"/>
            </w:tcBorders>
            <w:shd w:val="clear" w:color="auto" w:fill="auto"/>
            <w:noWrap/>
            <w:vAlign w:val="center"/>
            <w:hideMark/>
          </w:tcPr>
          <w:p w14:paraId="69ED5FB9" w14:textId="77777777" w:rsidR="00857CD5" w:rsidRPr="00857CD5" w:rsidRDefault="00857CD5" w:rsidP="00857CD5">
            <w:pPr>
              <w:rPr>
                <w:lang w:val="en-NZ"/>
              </w:rPr>
            </w:pPr>
            <w:r w:rsidRPr="00857CD5">
              <w:rPr>
                <w:lang w:val="en-NZ"/>
              </w:rPr>
              <w:t>&lt; 10</w:t>
            </w:r>
          </w:p>
        </w:tc>
      </w:tr>
      <w:tr w:rsidR="00857CD5" w:rsidRPr="00857CD5" w14:paraId="149C147D" w14:textId="77777777" w:rsidTr="001756E5">
        <w:trPr>
          <w:trHeight w:val="34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4F286218" w14:textId="77777777" w:rsidR="00857CD5" w:rsidRPr="00857CD5" w:rsidRDefault="00857CD5" w:rsidP="00857CD5">
            <w:pPr>
              <w:rPr>
                <w:i/>
                <w:iCs/>
                <w:lang w:val="en-NZ"/>
              </w:rPr>
            </w:pPr>
            <w:r w:rsidRPr="00857CD5">
              <w:rPr>
                <w:i/>
                <w:iCs/>
                <w:lang w:val="en-NZ"/>
              </w:rPr>
              <w:t>Escherichia coli</w:t>
            </w:r>
          </w:p>
        </w:tc>
        <w:tc>
          <w:tcPr>
            <w:tcW w:w="877" w:type="pct"/>
            <w:tcBorders>
              <w:top w:val="nil"/>
              <w:left w:val="nil"/>
              <w:bottom w:val="single" w:sz="4" w:space="0" w:color="auto"/>
              <w:right w:val="single" w:sz="4" w:space="0" w:color="auto"/>
            </w:tcBorders>
            <w:shd w:val="clear" w:color="auto" w:fill="auto"/>
            <w:noWrap/>
            <w:vAlign w:val="center"/>
            <w:hideMark/>
          </w:tcPr>
          <w:p w14:paraId="5B480750" w14:textId="77777777" w:rsidR="00857CD5" w:rsidRPr="00857CD5" w:rsidRDefault="00857CD5" w:rsidP="00857CD5">
            <w:pPr>
              <w:rPr>
                <w:lang w:val="en-NZ"/>
              </w:rPr>
            </w:pPr>
            <w:r w:rsidRPr="00857CD5">
              <w:rPr>
                <w:lang w:val="en-NZ"/>
              </w:rPr>
              <w:t>ND 25g</w:t>
            </w:r>
          </w:p>
        </w:tc>
        <w:tc>
          <w:tcPr>
            <w:tcW w:w="857" w:type="pct"/>
            <w:tcBorders>
              <w:top w:val="nil"/>
              <w:left w:val="nil"/>
              <w:bottom w:val="single" w:sz="4" w:space="0" w:color="auto"/>
              <w:right w:val="single" w:sz="4" w:space="0" w:color="auto"/>
            </w:tcBorders>
            <w:shd w:val="clear" w:color="auto" w:fill="auto"/>
            <w:noWrap/>
            <w:vAlign w:val="center"/>
            <w:hideMark/>
          </w:tcPr>
          <w:p w14:paraId="754D64AC" w14:textId="77777777" w:rsidR="00857CD5" w:rsidRPr="00857CD5" w:rsidRDefault="00857CD5" w:rsidP="00857CD5">
            <w:pPr>
              <w:rPr>
                <w:lang w:val="en-NZ"/>
              </w:rPr>
            </w:pPr>
            <w:r w:rsidRPr="00857CD5">
              <w:rPr>
                <w:lang w:val="en-NZ"/>
              </w:rPr>
              <w:t>ND 10g</w:t>
            </w:r>
          </w:p>
        </w:tc>
        <w:tc>
          <w:tcPr>
            <w:tcW w:w="774" w:type="pct"/>
            <w:tcBorders>
              <w:top w:val="nil"/>
              <w:left w:val="nil"/>
              <w:bottom w:val="single" w:sz="4" w:space="0" w:color="auto"/>
              <w:right w:val="single" w:sz="4" w:space="0" w:color="auto"/>
            </w:tcBorders>
            <w:shd w:val="clear" w:color="auto" w:fill="auto"/>
            <w:noWrap/>
            <w:vAlign w:val="center"/>
            <w:hideMark/>
          </w:tcPr>
          <w:p w14:paraId="351C07CE" w14:textId="77777777" w:rsidR="00857CD5" w:rsidRPr="00857CD5" w:rsidRDefault="00857CD5" w:rsidP="00857CD5">
            <w:pPr>
              <w:rPr>
                <w:lang w:val="en-NZ"/>
              </w:rPr>
            </w:pPr>
            <w:r w:rsidRPr="00857CD5">
              <w:rPr>
                <w:lang w:val="en-NZ"/>
              </w:rPr>
              <w:t>ND 10g</w:t>
            </w:r>
          </w:p>
        </w:tc>
        <w:tc>
          <w:tcPr>
            <w:tcW w:w="774" w:type="pct"/>
            <w:tcBorders>
              <w:top w:val="nil"/>
              <w:left w:val="nil"/>
              <w:bottom w:val="single" w:sz="4" w:space="0" w:color="auto"/>
              <w:right w:val="single" w:sz="4" w:space="0" w:color="auto"/>
            </w:tcBorders>
            <w:shd w:val="clear" w:color="auto" w:fill="auto"/>
            <w:noWrap/>
            <w:vAlign w:val="center"/>
            <w:hideMark/>
          </w:tcPr>
          <w:p w14:paraId="0F644447" w14:textId="77777777" w:rsidR="00857CD5" w:rsidRPr="00857CD5" w:rsidRDefault="00857CD5" w:rsidP="00857CD5">
            <w:pPr>
              <w:rPr>
                <w:lang w:val="en-NZ"/>
              </w:rPr>
            </w:pPr>
            <w:r w:rsidRPr="00857CD5">
              <w:rPr>
                <w:lang w:val="en-NZ"/>
              </w:rPr>
              <w:t>ND 10/g</w:t>
            </w:r>
          </w:p>
        </w:tc>
      </w:tr>
      <w:tr w:rsidR="00857CD5" w:rsidRPr="00857CD5" w14:paraId="604FEF05" w14:textId="77777777" w:rsidTr="001756E5">
        <w:trPr>
          <w:trHeight w:val="354"/>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42CAB7D5" w14:textId="77777777" w:rsidR="00857CD5" w:rsidRPr="00857CD5" w:rsidRDefault="00857CD5" w:rsidP="00857CD5">
            <w:pPr>
              <w:rPr>
                <w:lang w:val="en-NZ"/>
              </w:rPr>
            </w:pPr>
            <w:r w:rsidRPr="00857CD5">
              <w:rPr>
                <w:lang w:val="en-NZ"/>
              </w:rPr>
              <w:t xml:space="preserve">Antimicrobial activity </w:t>
            </w:r>
          </w:p>
        </w:tc>
        <w:tc>
          <w:tcPr>
            <w:tcW w:w="877" w:type="pct"/>
            <w:tcBorders>
              <w:top w:val="nil"/>
              <w:left w:val="nil"/>
              <w:bottom w:val="single" w:sz="4" w:space="0" w:color="auto"/>
              <w:right w:val="single" w:sz="4" w:space="0" w:color="auto"/>
            </w:tcBorders>
            <w:shd w:val="clear" w:color="auto" w:fill="auto"/>
            <w:noWrap/>
            <w:vAlign w:val="center"/>
            <w:hideMark/>
          </w:tcPr>
          <w:p w14:paraId="75FB3799" w14:textId="77777777" w:rsidR="00857CD5" w:rsidRPr="00857CD5" w:rsidRDefault="00857CD5" w:rsidP="00857CD5">
            <w:pPr>
              <w:rPr>
                <w:lang w:val="en-NZ"/>
              </w:rPr>
            </w:pPr>
            <w:r w:rsidRPr="00857CD5">
              <w:rPr>
                <w:lang w:val="en-NZ"/>
              </w:rPr>
              <w:t>Negative</w:t>
            </w:r>
          </w:p>
        </w:tc>
        <w:tc>
          <w:tcPr>
            <w:tcW w:w="857" w:type="pct"/>
            <w:tcBorders>
              <w:top w:val="nil"/>
              <w:left w:val="nil"/>
              <w:bottom w:val="single" w:sz="4" w:space="0" w:color="auto"/>
              <w:right w:val="single" w:sz="4" w:space="0" w:color="auto"/>
            </w:tcBorders>
            <w:shd w:val="clear" w:color="auto" w:fill="auto"/>
            <w:noWrap/>
            <w:vAlign w:val="center"/>
            <w:hideMark/>
          </w:tcPr>
          <w:p w14:paraId="4190E4E3" w14:textId="77777777" w:rsidR="00857CD5" w:rsidRPr="00857CD5" w:rsidRDefault="00857CD5" w:rsidP="00857CD5">
            <w:pPr>
              <w:rPr>
                <w:lang w:val="en-NZ"/>
              </w:rPr>
            </w:pPr>
            <w:r w:rsidRPr="00857CD5">
              <w:rPr>
                <w:lang w:val="en-NZ"/>
              </w:rPr>
              <w:t>Negative</w:t>
            </w:r>
          </w:p>
        </w:tc>
        <w:tc>
          <w:tcPr>
            <w:tcW w:w="774" w:type="pct"/>
            <w:tcBorders>
              <w:top w:val="nil"/>
              <w:left w:val="nil"/>
              <w:bottom w:val="single" w:sz="4" w:space="0" w:color="auto"/>
              <w:right w:val="single" w:sz="4" w:space="0" w:color="auto"/>
            </w:tcBorders>
            <w:shd w:val="clear" w:color="auto" w:fill="auto"/>
            <w:noWrap/>
            <w:vAlign w:val="center"/>
            <w:hideMark/>
          </w:tcPr>
          <w:p w14:paraId="6EA9BF7D" w14:textId="77777777" w:rsidR="00857CD5" w:rsidRPr="00857CD5" w:rsidRDefault="00857CD5" w:rsidP="00857CD5">
            <w:pPr>
              <w:rPr>
                <w:lang w:val="en-NZ"/>
              </w:rPr>
            </w:pPr>
            <w:r w:rsidRPr="00857CD5">
              <w:rPr>
                <w:lang w:val="en-NZ"/>
              </w:rPr>
              <w:t>Negative</w:t>
            </w:r>
          </w:p>
        </w:tc>
        <w:tc>
          <w:tcPr>
            <w:tcW w:w="774" w:type="pct"/>
            <w:tcBorders>
              <w:top w:val="nil"/>
              <w:left w:val="nil"/>
              <w:bottom w:val="single" w:sz="4" w:space="0" w:color="auto"/>
              <w:right w:val="single" w:sz="4" w:space="0" w:color="auto"/>
            </w:tcBorders>
            <w:shd w:val="clear" w:color="auto" w:fill="auto"/>
            <w:noWrap/>
            <w:vAlign w:val="center"/>
            <w:hideMark/>
          </w:tcPr>
          <w:p w14:paraId="01241540" w14:textId="77777777" w:rsidR="00857CD5" w:rsidRPr="00857CD5" w:rsidRDefault="00857CD5" w:rsidP="00857CD5">
            <w:pPr>
              <w:rPr>
                <w:lang w:val="en-NZ"/>
              </w:rPr>
            </w:pPr>
            <w:r w:rsidRPr="00857CD5">
              <w:rPr>
                <w:lang w:val="en-NZ"/>
              </w:rPr>
              <w:t>Negative</w:t>
            </w:r>
          </w:p>
        </w:tc>
      </w:tr>
      <w:tr w:rsidR="00857CD5" w:rsidRPr="00857CD5" w14:paraId="6B7D3290" w14:textId="77777777" w:rsidTr="001756E5">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918A8D" w14:textId="77777777" w:rsidR="00857CD5" w:rsidRPr="00857CD5" w:rsidRDefault="00857CD5" w:rsidP="00857CD5">
            <w:pPr>
              <w:rPr>
                <w:lang w:val="en-NZ"/>
              </w:rPr>
            </w:pPr>
            <w:r w:rsidRPr="00857CD5">
              <w:rPr>
                <w:lang w:val="en-NZ"/>
              </w:rPr>
              <w:t>Enzyme Activity</w:t>
            </w:r>
          </w:p>
        </w:tc>
      </w:tr>
      <w:tr w:rsidR="00857CD5" w:rsidRPr="00857CD5" w14:paraId="3FAB8831" w14:textId="77777777" w:rsidTr="001756E5">
        <w:trPr>
          <w:trHeight w:val="444"/>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14:paraId="3D09BB85" w14:textId="77777777" w:rsidR="00857CD5" w:rsidRPr="00857CD5" w:rsidRDefault="00857CD5" w:rsidP="00857CD5">
            <w:pPr>
              <w:rPr>
                <w:lang w:val="en-NZ"/>
              </w:rPr>
            </w:pPr>
            <w:r w:rsidRPr="00857CD5">
              <w:rPr>
                <w:lang w:val="en-NZ"/>
              </w:rPr>
              <w:t>Deamidating activity (u/g)</w:t>
            </w:r>
          </w:p>
        </w:tc>
        <w:tc>
          <w:tcPr>
            <w:tcW w:w="877" w:type="pct"/>
            <w:tcBorders>
              <w:top w:val="nil"/>
              <w:left w:val="nil"/>
              <w:bottom w:val="single" w:sz="4" w:space="0" w:color="auto"/>
              <w:right w:val="single" w:sz="4" w:space="0" w:color="auto"/>
            </w:tcBorders>
            <w:shd w:val="clear" w:color="auto" w:fill="auto"/>
            <w:noWrap/>
            <w:vAlign w:val="center"/>
            <w:hideMark/>
          </w:tcPr>
          <w:p w14:paraId="396BA4E0" w14:textId="77777777" w:rsidR="00857CD5" w:rsidRPr="00857CD5" w:rsidRDefault="00857CD5" w:rsidP="00857CD5">
            <w:pPr>
              <w:rPr>
                <w:lang w:val="en-NZ"/>
              </w:rPr>
            </w:pPr>
            <w:r w:rsidRPr="00857CD5">
              <w:rPr>
                <w:lang w:val="en-NZ"/>
              </w:rPr>
              <w:t xml:space="preserve">≥ 500 </w:t>
            </w:r>
          </w:p>
        </w:tc>
        <w:tc>
          <w:tcPr>
            <w:tcW w:w="857" w:type="pct"/>
            <w:tcBorders>
              <w:top w:val="nil"/>
              <w:left w:val="nil"/>
              <w:bottom w:val="single" w:sz="4" w:space="0" w:color="auto"/>
              <w:right w:val="single" w:sz="4" w:space="0" w:color="auto"/>
            </w:tcBorders>
            <w:shd w:val="clear" w:color="auto" w:fill="auto"/>
            <w:noWrap/>
            <w:vAlign w:val="center"/>
            <w:hideMark/>
          </w:tcPr>
          <w:p w14:paraId="71A0EAC2" w14:textId="77777777" w:rsidR="00857CD5" w:rsidRPr="00857CD5" w:rsidRDefault="00857CD5" w:rsidP="00857CD5">
            <w:pPr>
              <w:rPr>
                <w:lang w:val="en-NZ"/>
              </w:rPr>
            </w:pPr>
            <w:r w:rsidRPr="00857CD5">
              <w:rPr>
                <w:lang w:val="en-NZ"/>
              </w:rPr>
              <w:t>686</w:t>
            </w:r>
          </w:p>
        </w:tc>
        <w:tc>
          <w:tcPr>
            <w:tcW w:w="774" w:type="pct"/>
            <w:tcBorders>
              <w:top w:val="nil"/>
              <w:left w:val="nil"/>
              <w:bottom w:val="single" w:sz="4" w:space="0" w:color="auto"/>
              <w:right w:val="single" w:sz="4" w:space="0" w:color="auto"/>
            </w:tcBorders>
            <w:shd w:val="clear" w:color="auto" w:fill="auto"/>
            <w:noWrap/>
            <w:vAlign w:val="center"/>
            <w:hideMark/>
          </w:tcPr>
          <w:p w14:paraId="455AF5F5" w14:textId="77777777" w:rsidR="00857CD5" w:rsidRPr="00857CD5" w:rsidRDefault="00857CD5" w:rsidP="00857CD5">
            <w:pPr>
              <w:rPr>
                <w:lang w:val="en-NZ"/>
              </w:rPr>
            </w:pPr>
            <w:r w:rsidRPr="00857CD5">
              <w:rPr>
                <w:lang w:val="en-NZ"/>
              </w:rPr>
              <w:t>780</w:t>
            </w:r>
          </w:p>
        </w:tc>
        <w:tc>
          <w:tcPr>
            <w:tcW w:w="774" w:type="pct"/>
            <w:tcBorders>
              <w:top w:val="nil"/>
              <w:left w:val="nil"/>
              <w:bottom w:val="single" w:sz="4" w:space="0" w:color="auto"/>
              <w:right w:val="single" w:sz="4" w:space="0" w:color="auto"/>
            </w:tcBorders>
            <w:shd w:val="clear" w:color="auto" w:fill="auto"/>
            <w:noWrap/>
            <w:vAlign w:val="center"/>
            <w:hideMark/>
          </w:tcPr>
          <w:p w14:paraId="4D9A9DFB" w14:textId="77777777" w:rsidR="00857CD5" w:rsidRPr="00857CD5" w:rsidRDefault="00857CD5" w:rsidP="00857CD5">
            <w:pPr>
              <w:rPr>
                <w:lang w:val="en-NZ"/>
              </w:rPr>
            </w:pPr>
            <w:r w:rsidRPr="00857CD5">
              <w:rPr>
                <w:lang w:val="en-NZ"/>
              </w:rPr>
              <w:t>872</w:t>
            </w:r>
          </w:p>
        </w:tc>
      </w:tr>
    </w:tbl>
    <w:p w14:paraId="329489C2" w14:textId="142BAB3E" w:rsidR="00857CD5" w:rsidRPr="00857CD5" w:rsidRDefault="00FD462C" w:rsidP="006A726E">
      <w:pPr>
        <w:pStyle w:val="Heading3"/>
      </w:pPr>
      <w:bookmarkStart w:id="31" w:name="_Toc485893677"/>
      <w:bookmarkStart w:id="32" w:name="_Toc492456027"/>
      <w:r>
        <w:t>2.7</w:t>
      </w:r>
      <w:r w:rsidR="00857CD5" w:rsidRPr="00857CD5">
        <w:tab/>
        <w:t xml:space="preserve">Enzyme </w:t>
      </w:r>
      <w:r w:rsidR="00386537">
        <w:t xml:space="preserve">pH </w:t>
      </w:r>
      <w:r w:rsidR="00857CD5" w:rsidRPr="00857CD5">
        <w:t>stability</w:t>
      </w:r>
      <w:bookmarkEnd w:id="31"/>
      <w:bookmarkEnd w:id="32"/>
    </w:p>
    <w:p w14:paraId="44FB91D2" w14:textId="2421D140" w:rsidR="00857CD5" w:rsidRPr="00857CD5" w:rsidRDefault="00857CD5" w:rsidP="00857CD5">
      <w:r w:rsidRPr="00857CD5">
        <w:t xml:space="preserve">Amano’s assessment of </w:t>
      </w:r>
      <w:r w:rsidR="001F05E4">
        <w:t xml:space="preserve">the </w:t>
      </w:r>
      <w:r w:rsidRPr="00857CD5">
        <w:t xml:space="preserve">stability </w:t>
      </w:r>
      <w:r w:rsidR="00CE31A1">
        <w:t>(</w:t>
      </w:r>
      <w:r w:rsidR="001F05E4">
        <w:t>of</w:t>
      </w:r>
      <w:r w:rsidR="00CE31A1">
        <w:t xml:space="preserve"> enzyme activity) </w:t>
      </w:r>
      <w:r w:rsidRPr="00857CD5">
        <w:t>under varying pH conditions indicate that protein glutaminase is stable at the pH range of 5.0-7.0 as shown above in Figure 1.</w:t>
      </w:r>
    </w:p>
    <w:p w14:paraId="0215F0D2" w14:textId="152B62C7" w:rsidR="00857CD5" w:rsidRPr="00857CD5" w:rsidRDefault="00FD462C" w:rsidP="006C6646">
      <w:pPr>
        <w:pStyle w:val="Heading3"/>
      </w:pPr>
      <w:bookmarkStart w:id="33" w:name="_Toc485893679"/>
      <w:bookmarkStart w:id="34" w:name="_Toc492456028"/>
      <w:r>
        <w:t>2.</w:t>
      </w:r>
      <w:r w:rsidR="00386537">
        <w:t>8</w:t>
      </w:r>
      <w:r w:rsidR="000E7DF2">
        <w:tab/>
      </w:r>
      <w:r w:rsidR="00386537">
        <w:t xml:space="preserve">Enzyme </w:t>
      </w:r>
      <w:r w:rsidR="00857CD5" w:rsidRPr="00857CD5">
        <w:t>Thermal stability</w:t>
      </w:r>
      <w:bookmarkEnd w:id="33"/>
      <w:bookmarkEnd w:id="34"/>
      <w:r w:rsidR="00857CD5" w:rsidRPr="00857CD5">
        <w:t xml:space="preserve"> </w:t>
      </w:r>
    </w:p>
    <w:p w14:paraId="1EC45F5D" w14:textId="10132F21" w:rsidR="00857CD5" w:rsidRPr="00857CD5" w:rsidRDefault="00857CD5" w:rsidP="00857CD5">
      <w:r w:rsidRPr="00857CD5">
        <w:t xml:space="preserve">Amano’s assessment of </w:t>
      </w:r>
      <w:r w:rsidR="001F05E4">
        <w:t xml:space="preserve">the </w:t>
      </w:r>
      <w:r w:rsidRPr="00857CD5">
        <w:t xml:space="preserve">stability </w:t>
      </w:r>
      <w:r w:rsidR="001F05E4">
        <w:t xml:space="preserve">of enzyme activity </w:t>
      </w:r>
      <w:r w:rsidRPr="00857CD5">
        <w:t xml:space="preserve">under varying temperatures indicate that protein glutaminase is stable at a temperature range of 50-60°C. Figure 4 shows the residual activity when the enzyme is incubated for 10 or 60 minutes at various temperatures. </w:t>
      </w:r>
    </w:p>
    <w:p w14:paraId="6E8B39AB" w14:textId="77777777" w:rsidR="00857CD5" w:rsidRPr="00857CD5" w:rsidRDefault="00857CD5" w:rsidP="00857CD5"/>
    <w:p w14:paraId="6E303F84" w14:textId="1F8A8F4A" w:rsidR="00857CD5" w:rsidRDefault="00857CD5" w:rsidP="006C6646">
      <w:pPr>
        <w:pStyle w:val="FSFigureTitle"/>
      </w:pPr>
      <w:r w:rsidRPr="00857CD5">
        <w:rPr>
          <w:noProof/>
          <w:lang w:eastAsia="en-GB" w:bidi="ar-SA"/>
        </w:rPr>
        <w:drawing>
          <wp:inline distT="0" distB="0" distL="0" distR="0" wp14:anchorId="6B350A98" wp14:editId="6763D721">
            <wp:extent cx="3347500" cy="3241813"/>
            <wp:effectExtent l="0" t="0" r="571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057B64" w14:textId="77777777" w:rsidR="00CE31A1" w:rsidRDefault="00CE31A1">
      <w:pPr>
        <w:widowControl/>
        <w:rPr>
          <w:b/>
          <w:i/>
        </w:rPr>
      </w:pPr>
    </w:p>
    <w:p w14:paraId="5C381D77" w14:textId="6276DB55" w:rsidR="001756E5" w:rsidRDefault="001756E5">
      <w:pPr>
        <w:widowControl/>
        <w:rPr>
          <w:i/>
        </w:rPr>
      </w:pPr>
      <w:r w:rsidRPr="00857CD5">
        <w:rPr>
          <w:b/>
          <w:i/>
        </w:rPr>
        <w:t>Figure 4</w:t>
      </w:r>
      <w:r w:rsidR="00CE31A1">
        <w:rPr>
          <w:i/>
        </w:rPr>
        <w:t xml:space="preserve">. </w:t>
      </w:r>
      <w:r w:rsidRPr="00857CD5">
        <w:rPr>
          <w:i/>
        </w:rPr>
        <w:t xml:space="preserve">Stability of protein glutaminase </w:t>
      </w:r>
      <w:r w:rsidR="00CE31A1">
        <w:rPr>
          <w:i/>
        </w:rPr>
        <w:t xml:space="preserve">activity </w:t>
      </w:r>
      <w:r w:rsidRPr="00857CD5">
        <w:rPr>
          <w:i/>
        </w:rPr>
        <w:t>when pre-incubated</w:t>
      </w:r>
    </w:p>
    <w:p w14:paraId="422B6636" w14:textId="1473579E" w:rsidR="00FD462C" w:rsidRDefault="00FD462C">
      <w:pPr>
        <w:widowControl/>
        <w:rPr>
          <w:i/>
        </w:rPr>
      </w:pPr>
      <w:r>
        <w:rPr>
          <w:i/>
        </w:rPr>
        <w:br w:type="page"/>
      </w:r>
    </w:p>
    <w:p w14:paraId="4C01A875" w14:textId="49AF8538" w:rsidR="00857CD5" w:rsidRPr="00FD462C" w:rsidRDefault="00FD462C" w:rsidP="006C6646">
      <w:pPr>
        <w:pStyle w:val="Heading3"/>
      </w:pPr>
      <w:bookmarkStart w:id="35" w:name="_Toc485893680"/>
      <w:bookmarkStart w:id="36" w:name="_Toc492456029"/>
      <w:r>
        <w:lastRenderedPageBreak/>
        <w:t>2.</w:t>
      </w:r>
      <w:r w:rsidR="00386537">
        <w:t>9</w:t>
      </w:r>
      <w:r w:rsidR="00B363B9">
        <w:tab/>
      </w:r>
      <w:r w:rsidR="00857CD5" w:rsidRPr="00FD462C">
        <w:t>Long term stability</w:t>
      </w:r>
      <w:bookmarkEnd w:id="35"/>
      <w:bookmarkEnd w:id="36"/>
    </w:p>
    <w:p w14:paraId="76A873EE" w14:textId="293F962B" w:rsidR="00857CD5" w:rsidRPr="00857CD5" w:rsidRDefault="00857CD5" w:rsidP="00857CD5">
      <w:r w:rsidRPr="00857CD5">
        <w:t xml:space="preserve">The stability of protein glutaminase </w:t>
      </w:r>
      <w:r w:rsidR="001F05E4">
        <w:t xml:space="preserve">activity </w:t>
      </w:r>
      <w:r w:rsidRPr="00857CD5">
        <w:t xml:space="preserve">was assayed over a 12-month period. Samples were sealed in airtight containers and stored at temperatures of -20°C, 4°C and 25°C (Figure 5). Results indicate that protein glutaminase </w:t>
      </w:r>
      <w:r w:rsidR="001F05E4">
        <w:t xml:space="preserve">activity </w:t>
      </w:r>
      <w:r w:rsidRPr="00857CD5">
        <w:t>is stable for at least 12 months from the date of manufacture under recommended storage conditions.</w:t>
      </w:r>
    </w:p>
    <w:p w14:paraId="37747316" w14:textId="77777777" w:rsidR="00857CD5" w:rsidRPr="00857CD5" w:rsidRDefault="00857CD5" w:rsidP="00857CD5"/>
    <w:p w14:paraId="2741E904" w14:textId="77777777" w:rsidR="00857CD5" w:rsidRPr="00857CD5" w:rsidRDefault="00857CD5" w:rsidP="008D178E">
      <w:r w:rsidRPr="00857CD5">
        <w:rPr>
          <w:noProof/>
          <w:lang w:eastAsia="en-GB" w:bidi="ar-SA"/>
        </w:rPr>
        <w:drawing>
          <wp:inline distT="0" distB="0" distL="0" distR="0" wp14:anchorId="0D4C186C" wp14:editId="3B519D42">
            <wp:extent cx="5759450" cy="3457575"/>
            <wp:effectExtent l="0" t="0" r="1270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D5B92D" w14:textId="77777777" w:rsidR="001F05E4" w:rsidRDefault="001F05E4" w:rsidP="001756E5">
      <w:pPr>
        <w:pStyle w:val="FSFigureTitle"/>
        <w:rPr>
          <w:b/>
        </w:rPr>
      </w:pPr>
      <w:bookmarkStart w:id="37" w:name="_Toc485893681"/>
    </w:p>
    <w:p w14:paraId="33C1C59D" w14:textId="19B5C32B" w:rsidR="001756E5" w:rsidRPr="00857CD5" w:rsidRDefault="001756E5" w:rsidP="001756E5">
      <w:pPr>
        <w:pStyle w:val="FSFigureTitle"/>
      </w:pPr>
      <w:r w:rsidRPr="00857CD5">
        <w:rPr>
          <w:b/>
        </w:rPr>
        <w:t>Figure 5</w:t>
      </w:r>
      <w:r w:rsidR="001F05E4">
        <w:t xml:space="preserve">. </w:t>
      </w:r>
      <w:r w:rsidRPr="00857CD5">
        <w:t>Long-term stability of protein glutaminase</w:t>
      </w:r>
    </w:p>
    <w:p w14:paraId="26950B8E" w14:textId="04C60D81" w:rsidR="00857CD5" w:rsidRPr="00857CD5" w:rsidRDefault="00FD462C" w:rsidP="006A726E">
      <w:pPr>
        <w:pStyle w:val="Heading3"/>
      </w:pPr>
      <w:bookmarkStart w:id="38" w:name="_Toc492456030"/>
      <w:r>
        <w:t>2.</w:t>
      </w:r>
      <w:r w:rsidR="00386537">
        <w:t>10</w:t>
      </w:r>
      <w:r>
        <w:tab/>
        <w:t xml:space="preserve">Food </w:t>
      </w:r>
      <w:r w:rsidR="001756E5">
        <w:t xml:space="preserve">technology </w:t>
      </w:r>
      <w:r w:rsidR="001756E5" w:rsidRPr="00857CD5">
        <w:t>conclusion</w:t>
      </w:r>
      <w:bookmarkEnd w:id="37"/>
      <w:bookmarkEnd w:id="38"/>
    </w:p>
    <w:p w14:paraId="3EE91CE7" w14:textId="6B9718FF" w:rsidR="00857CD5" w:rsidRPr="00857CD5" w:rsidRDefault="00857CD5" w:rsidP="00857CD5">
      <w:r w:rsidRPr="00857CD5">
        <w:t>FSANZ concludes that the use of protein glutaminase is effective in providing improvements in the solubility of proteins. This solubility promotes emulsification, foam stabilisation and gelling in various food processing applications. The food applications that would benefit from the use of protein glutaminase are baking, pasta/noodle making, the processing of milk a</w:t>
      </w:r>
      <w:r w:rsidR="00D75526">
        <w:t>nd dairy, meat, fish, grains,</w:t>
      </w:r>
      <w:r w:rsidRPr="00857CD5">
        <w:t xml:space="preserve"> yeasts</w:t>
      </w:r>
      <w:r w:rsidR="00726584">
        <w:t xml:space="preserve"> products</w:t>
      </w:r>
      <w:r w:rsidR="00D75526">
        <w:t xml:space="preserve"> and egg based products</w:t>
      </w:r>
      <w:r w:rsidRPr="00857CD5">
        <w:t>. The evidence that Amano presented to support the proposed uses of the enzyme preparation provides adequate assurance that the enzyme, in the form and prescribed amounts, is technologically justified and achieves its stated purpose. FSANZ also concludes that the enzyme performs its technological purpose during processing and manufacture of food after which it is inactivated therefore not performing any technological function in the final food. It is appropriately categorised as a processing aid and not a food additive. The enzyme preparation meets international purity specifications for enzymes used in the production of food.</w:t>
      </w:r>
    </w:p>
    <w:p w14:paraId="7E1F7B77" w14:textId="5AD5C4D6" w:rsidR="00236F19" w:rsidRDefault="00236F19" w:rsidP="006B4015"/>
    <w:p w14:paraId="55ED2FEA" w14:textId="45BFC772" w:rsidR="00FD462C" w:rsidRDefault="00FD462C">
      <w:pPr>
        <w:widowControl/>
      </w:pPr>
      <w:r>
        <w:br w:type="page"/>
      </w:r>
    </w:p>
    <w:p w14:paraId="33BFB166" w14:textId="77777777" w:rsidR="00236F19" w:rsidRPr="00A206A6" w:rsidRDefault="00236F19" w:rsidP="00A206A6">
      <w:pPr>
        <w:keepNext/>
        <w:spacing w:before="240" w:after="240"/>
        <w:ind w:left="810" w:hanging="851"/>
        <w:outlineLvl w:val="1"/>
        <w:rPr>
          <w:rFonts w:cs="Arial"/>
          <w:b/>
          <w:bCs/>
          <w:sz w:val="28"/>
          <w:szCs w:val="22"/>
          <w:lang w:bidi="ar-SA"/>
        </w:rPr>
      </w:pPr>
      <w:bookmarkStart w:id="39" w:name="_Toc472668679"/>
      <w:bookmarkStart w:id="40" w:name="_Toc476908568"/>
      <w:bookmarkStart w:id="41" w:name="_Toc478375790"/>
      <w:bookmarkStart w:id="42" w:name="_Toc485893682"/>
      <w:bookmarkStart w:id="43" w:name="_Toc492456031"/>
      <w:r w:rsidRPr="00A206A6">
        <w:rPr>
          <w:rFonts w:cs="Arial"/>
          <w:b/>
          <w:bCs/>
          <w:sz w:val="28"/>
          <w:szCs w:val="22"/>
          <w:lang w:bidi="ar-SA"/>
        </w:rPr>
        <w:lastRenderedPageBreak/>
        <w:t>3</w:t>
      </w:r>
      <w:r w:rsidRPr="00A206A6">
        <w:rPr>
          <w:rFonts w:cs="Arial"/>
          <w:b/>
          <w:bCs/>
          <w:sz w:val="28"/>
          <w:szCs w:val="22"/>
          <w:lang w:bidi="ar-SA"/>
        </w:rPr>
        <w:tab/>
        <w:t>Hazard assessment</w:t>
      </w:r>
      <w:bookmarkStart w:id="44" w:name="_Toc464547647"/>
      <w:bookmarkStart w:id="45" w:name="_Toc464547702"/>
      <w:bookmarkStart w:id="46" w:name="_Toc464547913"/>
      <w:bookmarkStart w:id="47" w:name="_Toc465949474"/>
      <w:bookmarkStart w:id="48" w:name="_Toc465949490"/>
      <w:bookmarkStart w:id="49" w:name="_Toc469573172"/>
      <w:bookmarkStart w:id="50" w:name="_Toc471977553"/>
      <w:bookmarkStart w:id="51" w:name="_Toc471977612"/>
      <w:bookmarkStart w:id="52" w:name="_Toc471978096"/>
      <w:bookmarkEnd w:id="39"/>
      <w:bookmarkEnd w:id="40"/>
      <w:bookmarkEnd w:id="41"/>
      <w:bookmarkEnd w:id="42"/>
      <w:bookmarkEnd w:id="44"/>
      <w:bookmarkEnd w:id="45"/>
      <w:bookmarkEnd w:id="46"/>
      <w:bookmarkEnd w:id="47"/>
      <w:bookmarkEnd w:id="48"/>
      <w:bookmarkEnd w:id="49"/>
      <w:bookmarkEnd w:id="50"/>
      <w:bookmarkEnd w:id="51"/>
      <w:bookmarkEnd w:id="52"/>
      <w:bookmarkEnd w:id="43"/>
    </w:p>
    <w:p w14:paraId="5C056B8C" w14:textId="252AB36A" w:rsidR="00236F19" w:rsidRDefault="00236F19" w:rsidP="006A726E">
      <w:pPr>
        <w:pStyle w:val="Heading3"/>
        <w:rPr>
          <w:b w:val="0"/>
        </w:rPr>
      </w:pPr>
      <w:bookmarkStart w:id="53" w:name="_Toc472668681"/>
      <w:bookmarkStart w:id="54" w:name="_Toc476908569"/>
      <w:bookmarkStart w:id="55" w:name="_Toc478375791"/>
      <w:bookmarkStart w:id="56" w:name="_Toc485893683"/>
      <w:bookmarkStart w:id="57" w:name="_Toc492456032"/>
      <w:r w:rsidRPr="006A726E">
        <w:t>3.1</w:t>
      </w:r>
      <w:r w:rsidRPr="006A726E">
        <w:tab/>
      </w:r>
      <w:bookmarkEnd w:id="53"/>
      <w:bookmarkEnd w:id="54"/>
      <w:bookmarkEnd w:id="55"/>
      <w:r w:rsidR="00467531" w:rsidRPr="009E764B">
        <w:t>Background</w:t>
      </w:r>
      <w:bookmarkEnd w:id="56"/>
      <w:bookmarkEnd w:id="57"/>
    </w:p>
    <w:p w14:paraId="75A6A057" w14:textId="4EAD6A6E" w:rsidR="00467531" w:rsidRPr="00ED44B0" w:rsidRDefault="008974FB" w:rsidP="00467531">
      <w:pPr>
        <w:widowControl/>
        <w:rPr>
          <w:rFonts w:cs="Arial"/>
          <w:iCs/>
          <w:szCs w:val="22"/>
          <w:lang w:bidi="ar-SA"/>
        </w:rPr>
      </w:pPr>
      <w:r>
        <w:rPr>
          <w:rFonts w:cs="Arial"/>
          <w:iCs/>
          <w:szCs w:val="22"/>
          <w:lang w:bidi="ar-SA"/>
        </w:rPr>
        <w:t>T</w:t>
      </w:r>
      <w:r w:rsidR="00467531" w:rsidRPr="00ED44B0">
        <w:rPr>
          <w:rFonts w:cs="Arial"/>
          <w:iCs/>
          <w:szCs w:val="22"/>
          <w:lang w:bidi="ar-SA"/>
        </w:rPr>
        <w:t xml:space="preserve">he aims of the current </w:t>
      </w:r>
      <w:r w:rsidR="00467531">
        <w:rPr>
          <w:rFonts w:cs="Arial"/>
          <w:iCs/>
          <w:szCs w:val="22"/>
          <w:lang w:bidi="ar-SA"/>
        </w:rPr>
        <w:t xml:space="preserve">hazard </w:t>
      </w:r>
      <w:r w:rsidR="00467531" w:rsidRPr="00ED44B0">
        <w:rPr>
          <w:rFonts w:cs="Arial"/>
          <w:iCs/>
          <w:szCs w:val="22"/>
          <w:lang w:bidi="ar-SA"/>
        </w:rPr>
        <w:t xml:space="preserve">assessment </w:t>
      </w:r>
      <w:r w:rsidR="00660A53">
        <w:rPr>
          <w:rFonts w:cs="Arial"/>
          <w:iCs/>
          <w:szCs w:val="22"/>
          <w:lang w:bidi="ar-SA"/>
        </w:rPr>
        <w:t>were</w:t>
      </w:r>
      <w:r w:rsidR="00660A53" w:rsidRPr="00ED44B0">
        <w:rPr>
          <w:rFonts w:cs="Arial"/>
          <w:iCs/>
          <w:szCs w:val="22"/>
          <w:lang w:bidi="ar-SA"/>
        </w:rPr>
        <w:t xml:space="preserve"> </w:t>
      </w:r>
      <w:r w:rsidR="00467531" w:rsidRPr="00ED44B0">
        <w:rPr>
          <w:rFonts w:cs="Arial"/>
          <w:iCs/>
          <w:szCs w:val="22"/>
          <w:lang w:bidi="ar-SA"/>
        </w:rPr>
        <w:t>to:</w:t>
      </w:r>
    </w:p>
    <w:p w14:paraId="146219A0" w14:textId="47FBC842" w:rsidR="00467531" w:rsidRPr="00ED44B0" w:rsidRDefault="001756E5" w:rsidP="00467531">
      <w:pPr>
        <w:pStyle w:val="FSBullet1"/>
      </w:pPr>
      <w:r w:rsidRPr="00ED44B0">
        <w:t xml:space="preserve">review </w:t>
      </w:r>
      <w:r w:rsidR="00467531" w:rsidRPr="00ED44B0">
        <w:t xml:space="preserve">the available data on the toxicology of </w:t>
      </w:r>
      <w:r w:rsidR="00467531">
        <w:t>protein</w:t>
      </w:r>
      <w:r w:rsidR="0095189C">
        <w:t xml:space="preserve"> </w:t>
      </w:r>
      <w:r w:rsidR="00467531">
        <w:t xml:space="preserve">glutaminase from </w:t>
      </w:r>
      <w:r w:rsidR="00467531">
        <w:rPr>
          <w:i/>
        </w:rPr>
        <w:t>C.</w:t>
      </w:r>
      <w:r w:rsidR="006D02E2">
        <w:rPr>
          <w:i/>
        </w:rPr>
        <w:t> </w:t>
      </w:r>
      <w:r w:rsidR="00467531">
        <w:rPr>
          <w:i/>
        </w:rPr>
        <w:t>proteolyticum</w:t>
      </w:r>
      <w:r w:rsidR="00467531" w:rsidRPr="00ED44B0">
        <w:t xml:space="preserve"> to determine its safety as a food </w:t>
      </w:r>
      <w:r w:rsidR="00467531">
        <w:t>processing aid</w:t>
      </w:r>
      <w:r w:rsidR="00467531" w:rsidRPr="00ED44B0">
        <w:t xml:space="preserve"> </w:t>
      </w:r>
    </w:p>
    <w:p w14:paraId="7432B024" w14:textId="4553E2DE" w:rsidR="00DA7BBF" w:rsidRDefault="001756E5" w:rsidP="00467531">
      <w:pPr>
        <w:pStyle w:val="FSBullet1"/>
        <w:rPr>
          <w:b/>
          <w:bCs/>
          <w:color w:val="000000" w:themeColor="text1"/>
          <w:lang w:eastAsia="en-AU"/>
        </w:rPr>
      </w:pPr>
      <w:r w:rsidRPr="00ED44B0">
        <w:t xml:space="preserve">if </w:t>
      </w:r>
      <w:r w:rsidR="00467531" w:rsidRPr="00ED44B0">
        <w:t>appropriate, establish a health-based guidance value.</w:t>
      </w:r>
    </w:p>
    <w:p w14:paraId="61042BB3" w14:textId="155DE635" w:rsidR="00DA7BBF" w:rsidRPr="008C0160" w:rsidRDefault="00DA7BBF" w:rsidP="006B4015">
      <w:pPr>
        <w:pStyle w:val="Heading3"/>
      </w:pPr>
      <w:bookmarkStart w:id="58" w:name="_Toc472668682"/>
      <w:bookmarkStart w:id="59" w:name="_Toc476908570"/>
      <w:bookmarkStart w:id="60" w:name="_Toc478375792"/>
      <w:bookmarkStart w:id="61" w:name="_Toc485893684"/>
      <w:bookmarkStart w:id="62" w:name="_Toc492456033"/>
      <w:r w:rsidRPr="008C0160">
        <w:t>3.2</w:t>
      </w:r>
      <w:r w:rsidRPr="008C0160">
        <w:tab/>
      </w:r>
      <w:bookmarkEnd w:id="58"/>
      <w:bookmarkEnd w:id="59"/>
      <w:bookmarkEnd w:id="60"/>
      <w:r w:rsidR="00467531">
        <w:t>Hazard of the production organism</w:t>
      </w:r>
      <w:bookmarkEnd w:id="61"/>
      <w:bookmarkEnd w:id="62"/>
    </w:p>
    <w:p w14:paraId="40434ECE" w14:textId="2B5E9202" w:rsidR="00386537" w:rsidRPr="00D748A0" w:rsidRDefault="00F17ACA" w:rsidP="00E220F5">
      <w:pPr>
        <w:rPr>
          <w:lang w:eastAsia="en-AU" w:bidi="ar-SA"/>
        </w:rPr>
      </w:pPr>
      <w:r w:rsidRPr="00D748A0">
        <w:rPr>
          <w:lang w:eastAsia="en-AU" w:bidi="ar-SA"/>
        </w:rPr>
        <w:t xml:space="preserve">Two studies were submitted by the applicant, a pathogenicity and toxicity study using the parent strain </w:t>
      </w:r>
      <w:r w:rsidR="00FB5C9F" w:rsidRPr="00D748A0">
        <w:rPr>
          <w:i/>
          <w:lang w:eastAsia="en-AU" w:bidi="ar-SA"/>
        </w:rPr>
        <w:t>C. proteolyticum</w:t>
      </w:r>
      <w:r w:rsidR="00FB5C9F" w:rsidRPr="00D748A0">
        <w:rPr>
          <w:lang w:eastAsia="en-AU" w:bidi="ar-SA"/>
        </w:rPr>
        <w:t xml:space="preserve"> </w:t>
      </w:r>
      <w:r w:rsidRPr="00D748A0">
        <w:rPr>
          <w:lang w:eastAsia="en-AU" w:bidi="ar-SA"/>
        </w:rPr>
        <w:t xml:space="preserve">9670 and a second similar study using the production strain </w:t>
      </w:r>
      <w:r w:rsidR="00FB5C9F" w:rsidRPr="00D748A0">
        <w:rPr>
          <w:i/>
          <w:lang w:eastAsia="en-AU" w:bidi="ar-SA"/>
        </w:rPr>
        <w:t>C. proteolyticum</w:t>
      </w:r>
      <w:r w:rsidR="00FB5C9F" w:rsidRPr="00D748A0">
        <w:rPr>
          <w:lang w:eastAsia="en-AU" w:bidi="ar-SA"/>
        </w:rPr>
        <w:t xml:space="preserve"> </w:t>
      </w:r>
      <w:r w:rsidRPr="00D748A0">
        <w:rPr>
          <w:lang w:eastAsia="en-AU" w:bidi="ar-SA"/>
        </w:rPr>
        <w:t>AE-PG.</w:t>
      </w:r>
    </w:p>
    <w:p w14:paraId="1F11B552" w14:textId="41E9F021" w:rsidR="00E4292F" w:rsidRPr="00386537" w:rsidRDefault="00F17ACA" w:rsidP="008C3B4E">
      <w:pPr>
        <w:pStyle w:val="Heading5"/>
      </w:pPr>
      <w:r w:rsidRPr="008C3B4E">
        <w:t>Studies on the non-pathogenicity of Chryseobacterium proteolyticum</w:t>
      </w:r>
      <w:r w:rsidR="00793B16" w:rsidRPr="008C3B4E">
        <w:t xml:space="preserve"> strain 9670</w:t>
      </w:r>
      <w:r w:rsidR="008C3B4E" w:rsidRPr="008C3B4E">
        <w:t xml:space="preserve"> </w:t>
      </w:r>
      <w:r w:rsidR="008C3B4E" w:rsidRPr="00C53234">
        <w:t>and on the safety of the enzyme: protein-glutaminase</w:t>
      </w:r>
      <w:r w:rsidR="008C3B4E">
        <w:t xml:space="preserve"> </w:t>
      </w:r>
      <w:r w:rsidR="006E614A" w:rsidRPr="008C3B4E">
        <w:t>[</w:t>
      </w:r>
      <w:r w:rsidR="008C3B4E" w:rsidRPr="00C53234">
        <w:t>Scheuplei</w:t>
      </w:r>
      <w:r w:rsidR="008C3B4E">
        <w:t xml:space="preserve">n RJ et al </w:t>
      </w:r>
      <w:r w:rsidR="008C3B4E" w:rsidRPr="00C53234">
        <w:t>2007</w:t>
      </w:r>
      <w:r w:rsidR="008C3B4E">
        <w:t xml:space="preserve"> Regulatory Toxicology and Pharmacology </w:t>
      </w:r>
      <w:r w:rsidR="008C3B4E" w:rsidRPr="008C3B4E">
        <w:t>49(2):79-89.</w:t>
      </w:r>
      <w:r w:rsidR="006E614A" w:rsidRPr="008C3B4E">
        <w:t>]</w:t>
      </w:r>
    </w:p>
    <w:p w14:paraId="5FC4BD15" w14:textId="25A03C3C" w:rsidR="0065561A" w:rsidRPr="00D748A0" w:rsidRDefault="008C3B4E" w:rsidP="00E220F5">
      <w:pPr>
        <w:rPr>
          <w:lang w:eastAsia="en-AU" w:bidi="ar-SA"/>
        </w:rPr>
      </w:pPr>
      <w:r>
        <w:rPr>
          <w:lang w:eastAsia="en-AU" w:bidi="ar-SA"/>
        </w:rPr>
        <w:t>T</w:t>
      </w:r>
      <w:r w:rsidR="00367E55" w:rsidRPr="00D748A0">
        <w:rPr>
          <w:lang w:eastAsia="en-AU" w:bidi="ar-SA"/>
        </w:rPr>
        <w:t xml:space="preserve">he pathogenicity potential of </w:t>
      </w:r>
      <w:r w:rsidR="00367E55" w:rsidRPr="00D748A0">
        <w:rPr>
          <w:i/>
          <w:lang w:eastAsia="en-AU" w:bidi="ar-SA"/>
        </w:rPr>
        <w:t xml:space="preserve">C. proteolyticum </w:t>
      </w:r>
      <w:r w:rsidR="007A7C0B" w:rsidRPr="00506747">
        <w:rPr>
          <w:lang w:eastAsia="en-AU" w:bidi="ar-SA"/>
        </w:rPr>
        <w:t>strain</w:t>
      </w:r>
      <w:r w:rsidR="00367E55" w:rsidRPr="00506747">
        <w:rPr>
          <w:lang w:eastAsia="en-AU" w:bidi="ar-SA"/>
        </w:rPr>
        <w:t xml:space="preserve"> </w:t>
      </w:r>
      <w:r w:rsidR="004A74AE" w:rsidRPr="00D748A0">
        <w:rPr>
          <w:lang w:eastAsia="en-AU" w:bidi="ar-SA"/>
        </w:rPr>
        <w:t xml:space="preserve">9670 </w:t>
      </w:r>
      <w:r w:rsidR="00367E55" w:rsidRPr="00D748A0">
        <w:rPr>
          <w:lang w:eastAsia="en-AU" w:bidi="ar-SA"/>
        </w:rPr>
        <w:t xml:space="preserve">was </w:t>
      </w:r>
      <w:r w:rsidR="007F2BE5" w:rsidRPr="00D748A0">
        <w:rPr>
          <w:lang w:eastAsia="en-AU" w:bidi="ar-SA"/>
        </w:rPr>
        <w:t>estimated</w:t>
      </w:r>
      <w:r w:rsidR="00367E55" w:rsidRPr="00D748A0">
        <w:rPr>
          <w:lang w:eastAsia="en-AU" w:bidi="ar-SA"/>
        </w:rPr>
        <w:t xml:space="preserve"> according to the procedure of the National Research Council of Agriculture, Forestry and Fisheries, Japan (1985)</w:t>
      </w:r>
      <w:r w:rsidR="00FE0900">
        <w:rPr>
          <w:lang w:eastAsia="en-AU" w:bidi="ar-SA"/>
        </w:rPr>
        <w:t>. This procedure</w:t>
      </w:r>
      <w:r w:rsidR="00367E55" w:rsidRPr="00D748A0">
        <w:rPr>
          <w:lang w:eastAsia="en-AU" w:bidi="ar-SA"/>
        </w:rPr>
        <w:t xml:space="preserve"> uses cell viability in brain, kidney and liver tissue in combination with histological changes in the same tissue</w:t>
      </w:r>
      <w:r w:rsidR="00052C28" w:rsidRPr="00D748A0">
        <w:rPr>
          <w:lang w:eastAsia="en-AU" w:bidi="ar-SA"/>
        </w:rPr>
        <w:t>s</w:t>
      </w:r>
      <w:r w:rsidR="00367E55" w:rsidRPr="00D748A0">
        <w:rPr>
          <w:lang w:eastAsia="en-AU" w:bidi="ar-SA"/>
        </w:rPr>
        <w:t xml:space="preserve"> to estimate pathoge</w:t>
      </w:r>
      <w:r w:rsidR="00CA4009" w:rsidRPr="00D748A0">
        <w:rPr>
          <w:lang w:eastAsia="en-AU" w:bidi="ar-SA"/>
        </w:rPr>
        <w:t>nicity</w:t>
      </w:r>
      <w:r w:rsidR="004A74AE" w:rsidRPr="00D748A0">
        <w:rPr>
          <w:lang w:eastAsia="en-AU" w:bidi="ar-SA"/>
        </w:rPr>
        <w:t xml:space="preserve"> by intravenous </w:t>
      </w:r>
      <w:r w:rsidR="003B0587" w:rsidRPr="00D748A0">
        <w:rPr>
          <w:lang w:eastAsia="en-AU" w:bidi="ar-SA"/>
        </w:rPr>
        <w:t>and</w:t>
      </w:r>
      <w:r w:rsidR="004A74AE" w:rsidRPr="00D748A0">
        <w:rPr>
          <w:lang w:eastAsia="en-AU" w:bidi="ar-SA"/>
        </w:rPr>
        <w:t xml:space="preserve"> oral inoculation</w:t>
      </w:r>
      <w:r w:rsidR="00CA4009" w:rsidRPr="00D748A0">
        <w:rPr>
          <w:lang w:eastAsia="en-AU" w:bidi="ar-SA"/>
        </w:rPr>
        <w:t>.</w:t>
      </w:r>
    </w:p>
    <w:p w14:paraId="7D507418" w14:textId="77777777" w:rsidR="00052C28" w:rsidRPr="00D748A0" w:rsidRDefault="00052C28" w:rsidP="00E220F5">
      <w:pPr>
        <w:rPr>
          <w:lang w:eastAsia="en-AU" w:bidi="ar-SA"/>
        </w:rPr>
      </w:pPr>
    </w:p>
    <w:p w14:paraId="1B217E50" w14:textId="0FE441EA" w:rsidR="00052C28" w:rsidRPr="00D748A0" w:rsidRDefault="004A74AE" w:rsidP="00E220F5">
      <w:pPr>
        <w:rPr>
          <w:lang w:eastAsia="en-AU" w:bidi="ar-SA"/>
        </w:rPr>
      </w:pPr>
      <w:r w:rsidRPr="00D748A0">
        <w:rPr>
          <w:lang w:eastAsia="en-AU" w:bidi="ar-SA"/>
        </w:rPr>
        <w:t>In the intravenous inoculation study, f</w:t>
      </w:r>
      <w:r w:rsidR="00052C28" w:rsidRPr="00D748A0">
        <w:rPr>
          <w:lang w:eastAsia="en-AU" w:bidi="ar-SA"/>
        </w:rPr>
        <w:t xml:space="preserve">ive-week old S1c:ICR male mice were inoculated by intravenous injection with </w:t>
      </w:r>
      <w:r w:rsidR="00FD3EB1" w:rsidRPr="00D748A0">
        <w:rPr>
          <w:i/>
          <w:lang w:eastAsia="en-AU" w:bidi="ar-SA"/>
        </w:rPr>
        <w:t>C. proteolyticum</w:t>
      </w:r>
      <w:r w:rsidR="007329F4" w:rsidRPr="00D748A0">
        <w:rPr>
          <w:lang w:eastAsia="en-AU" w:bidi="ar-SA"/>
        </w:rPr>
        <w:t xml:space="preserve"> </w:t>
      </w:r>
      <w:r w:rsidR="00FD3EB1" w:rsidRPr="00D748A0">
        <w:rPr>
          <w:lang w:eastAsia="en-AU" w:bidi="ar-SA"/>
        </w:rPr>
        <w:t xml:space="preserve">at a dose of </w:t>
      </w:r>
      <w:r w:rsidRPr="00D748A0">
        <w:rPr>
          <w:lang w:eastAsia="en-AU" w:bidi="ar-SA"/>
        </w:rPr>
        <w:t xml:space="preserve">either </w:t>
      </w:r>
      <w:r w:rsidR="00052C28" w:rsidRPr="00D748A0">
        <w:rPr>
          <w:lang w:eastAsia="en-AU" w:bidi="ar-SA"/>
        </w:rPr>
        <w:t>2.9 x10</w:t>
      </w:r>
      <w:r w:rsidR="00052C28" w:rsidRPr="00D748A0">
        <w:rPr>
          <w:vertAlign w:val="superscript"/>
          <w:lang w:eastAsia="en-AU" w:bidi="ar-SA"/>
        </w:rPr>
        <w:t>7</w:t>
      </w:r>
      <w:r w:rsidR="00052C28" w:rsidRPr="00D748A0">
        <w:rPr>
          <w:lang w:eastAsia="en-AU" w:bidi="ar-SA"/>
        </w:rPr>
        <w:t xml:space="preserve"> or 2.9x10</w:t>
      </w:r>
      <w:r w:rsidR="00052C28" w:rsidRPr="00D748A0">
        <w:rPr>
          <w:vertAlign w:val="superscript"/>
          <w:lang w:eastAsia="en-AU" w:bidi="ar-SA"/>
        </w:rPr>
        <w:t>8</w:t>
      </w:r>
      <w:r w:rsidR="00052C28" w:rsidRPr="00D748A0">
        <w:rPr>
          <w:lang w:eastAsia="en-AU" w:bidi="ar-SA"/>
        </w:rPr>
        <w:t xml:space="preserve"> cfu/mouse</w:t>
      </w:r>
      <w:r w:rsidRPr="00D748A0">
        <w:rPr>
          <w:lang w:eastAsia="en-AU" w:bidi="ar-SA"/>
        </w:rPr>
        <w:t xml:space="preserve">. </w:t>
      </w:r>
      <w:r w:rsidR="00335455" w:rsidRPr="00D748A0">
        <w:rPr>
          <w:lang w:eastAsia="en-AU" w:bidi="ar-SA"/>
        </w:rPr>
        <w:t>Inoculation with the s</w:t>
      </w:r>
      <w:r w:rsidRPr="00D748A0">
        <w:rPr>
          <w:lang w:eastAsia="en-AU" w:bidi="ar-SA"/>
        </w:rPr>
        <w:t xml:space="preserve">upernatant of the </w:t>
      </w:r>
      <w:r w:rsidRPr="00D748A0">
        <w:rPr>
          <w:i/>
          <w:lang w:eastAsia="en-AU" w:bidi="ar-SA"/>
        </w:rPr>
        <w:t>C. proteolyticum</w:t>
      </w:r>
      <w:r w:rsidRPr="00D748A0">
        <w:rPr>
          <w:lang w:eastAsia="en-AU" w:bidi="ar-SA"/>
        </w:rPr>
        <w:t xml:space="preserve"> cell culture and the supernatant of the </w:t>
      </w:r>
      <w:r w:rsidRPr="00D748A0">
        <w:rPr>
          <w:i/>
          <w:lang w:eastAsia="en-AU" w:bidi="ar-SA"/>
        </w:rPr>
        <w:t>C. proteolyticum</w:t>
      </w:r>
      <w:r w:rsidRPr="00D748A0">
        <w:rPr>
          <w:lang w:eastAsia="en-AU" w:bidi="ar-SA"/>
        </w:rPr>
        <w:t xml:space="preserve"> cell lysate were included to determine if exotoxins and endotoxins are produced by </w:t>
      </w:r>
      <w:r w:rsidRPr="00D748A0">
        <w:rPr>
          <w:i/>
          <w:lang w:eastAsia="en-AU" w:bidi="ar-SA"/>
        </w:rPr>
        <w:t>C. proteolyticum</w:t>
      </w:r>
      <w:r w:rsidRPr="00D748A0">
        <w:rPr>
          <w:lang w:eastAsia="en-AU" w:bidi="ar-SA"/>
        </w:rPr>
        <w:t xml:space="preserve">. The negative control was saline and the positive control was </w:t>
      </w:r>
      <w:r w:rsidRPr="00D748A0">
        <w:rPr>
          <w:i/>
          <w:lang w:eastAsia="en-AU" w:bidi="ar-SA"/>
        </w:rPr>
        <w:t>Pseudomonas aeruginosa</w:t>
      </w:r>
      <w:r w:rsidRPr="00D748A0">
        <w:rPr>
          <w:lang w:eastAsia="en-AU" w:bidi="ar-SA"/>
        </w:rPr>
        <w:t xml:space="preserve"> IFO3919 at doses of 1.1x10</w:t>
      </w:r>
      <w:r w:rsidRPr="00D748A0">
        <w:rPr>
          <w:vertAlign w:val="superscript"/>
          <w:lang w:eastAsia="en-AU" w:bidi="ar-SA"/>
        </w:rPr>
        <w:t>6</w:t>
      </w:r>
      <w:r w:rsidRPr="00D748A0">
        <w:rPr>
          <w:lang w:eastAsia="en-AU" w:bidi="ar-SA"/>
        </w:rPr>
        <w:t xml:space="preserve"> or 1.1x10</w:t>
      </w:r>
      <w:r w:rsidRPr="00D748A0">
        <w:rPr>
          <w:vertAlign w:val="superscript"/>
          <w:lang w:eastAsia="en-AU" w:bidi="ar-SA"/>
        </w:rPr>
        <w:t>7</w:t>
      </w:r>
      <w:r w:rsidRPr="00D748A0">
        <w:rPr>
          <w:lang w:eastAsia="en-AU" w:bidi="ar-SA"/>
        </w:rPr>
        <w:t xml:space="preserve"> cfu/mouse. </w:t>
      </w:r>
      <w:r w:rsidR="00C54037" w:rsidRPr="00D748A0">
        <w:rPr>
          <w:lang w:eastAsia="en-AU" w:bidi="ar-SA"/>
        </w:rPr>
        <w:t xml:space="preserve">Ten mice were inoculated for all challenge </w:t>
      </w:r>
      <w:r w:rsidR="00335455" w:rsidRPr="00D748A0">
        <w:rPr>
          <w:lang w:eastAsia="en-AU" w:bidi="ar-SA"/>
        </w:rPr>
        <w:t xml:space="preserve">and positive control </w:t>
      </w:r>
      <w:r w:rsidR="00C54037" w:rsidRPr="00D748A0">
        <w:rPr>
          <w:lang w:eastAsia="en-AU" w:bidi="ar-SA"/>
        </w:rPr>
        <w:t>groups and five mice</w:t>
      </w:r>
      <w:r w:rsidR="003B7C7E" w:rsidRPr="00D748A0">
        <w:rPr>
          <w:lang w:eastAsia="en-AU" w:bidi="ar-SA"/>
        </w:rPr>
        <w:t xml:space="preserve"> were</w:t>
      </w:r>
      <w:r w:rsidR="00C54037" w:rsidRPr="00D748A0">
        <w:rPr>
          <w:lang w:eastAsia="en-AU" w:bidi="ar-SA"/>
        </w:rPr>
        <w:t xml:space="preserve"> </w:t>
      </w:r>
      <w:r w:rsidR="003B7C7E" w:rsidRPr="00D748A0">
        <w:rPr>
          <w:lang w:eastAsia="en-AU" w:bidi="ar-SA"/>
        </w:rPr>
        <w:t>inoculated</w:t>
      </w:r>
      <w:r w:rsidR="00C54037" w:rsidRPr="00D748A0">
        <w:rPr>
          <w:lang w:eastAsia="en-AU" w:bidi="ar-SA"/>
        </w:rPr>
        <w:t xml:space="preserve"> </w:t>
      </w:r>
      <w:r w:rsidR="003B7C7E" w:rsidRPr="00D748A0">
        <w:rPr>
          <w:lang w:eastAsia="en-AU" w:bidi="ar-SA"/>
        </w:rPr>
        <w:t>in the saline</w:t>
      </w:r>
      <w:r w:rsidR="00C54037" w:rsidRPr="00D748A0">
        <w:rPr>
          <w:lang w:eastAsia="en-AU" w:bidi="ar-SA"/>
        </w:rPr>
        <w:t xml:space="preserve"> negative </w:t>
      </w:r>
      <w:r w:rsidR="003B7C7E" w:rsidRPr="00D748A0">
        <w:rPr>
          <w:lang w:eastAsia="en-AU" w:bidi="ar-SA"/>
        </w:rPr>
        <w:t xml:space="preserve">control group. In the oral inoculation study, </w:t>
      </w:r>
      <w:r w:rsidR="00FD3EB1" w:rsidRPr="00D748A0">
        <w:rPr>
          <w:lang w:eastAsia="en-AU" w:bidi="ar-SA"/>
        </w:rPr>
        <w:t xml:space="preserve">five-week old S1c:ICR male mice were inoculated with </w:t>
      </w:r>
      <w:r w:rsidR="00FD3EB1" w:rsidRPr="00D748A0">
        <w:rPr>
          <w:i/>
          <w:lang w:eastAsia="en-AU" w:bidi="ar-SA"/>
        </w:rPr>
        <w:t>C. proteolyticum</w:t>
      </w:r>
      <w:r w:rsidR="00FD3EB1" w:rsidRPr="00D748A0">
        <w:rPr>
          <w:lang w:eastAsia="en-AU" w:bidi="ar-SA"/>
        </w:rPr>
        <w:t xml:space="preserve"> at a dose of </w:t>
      </w:r>
      <w:r w:rsidRPr="00D748A0">
        <w:rPr>
          <w:lang w:eastAsia="en-AU" w:bidi="ar-SA"/>
        </w:rPr>
        <w:t>1.3x10</w:t>
      </w:r>
      <w:r w:rsidRPr="00D748A0">
        <w:rPr>
          <w:vertAlign w:val="superscript"/>
          <w:lang w:eastAsia="en-AU" w:bidi="ar-SA"/>
        </w:rPr>
        <w:t>9</w:t>
      </w:r>
      <w:r w:rsidRPr="00D748A0">
        <w:rPr>
          <w:lang w:eastAsia="en-AU" w:bidi="ar-SA"/>
        </w:rPr>
        <w:t xml:space="preserve"> cfu/mouse.</w:t>
      </w:r>
      <w:r w:rsidR="00527274" w:rsidRPr="00D748A0">
        <w:rPr>
          <w:lang w:eastAsia="en-AU" w:bidi="ar-SA"/>
        </w:rPr>
        <w:t xml:space="preserve"> The negative control was saline and no positive control was included in the oral inoculation study. </w:t>
      </w:r>
      <w:r w:rsidR="00335455" w:rsidRPr="00D748A0">
        <w:rPr>
          <w:lang w:eastAsia="en-AU" w:bidi="ar-SA"/>
        </w:rPr>
        <w:t xml:space="preserve">Ten mice were included in the challenge group and five mice in the </w:t>
      </w:r>
      <w:r w:rsidR="007329F4" w:rsidRPr="00D748A0">
        <w:rPr>
          <w:lang w:eastAsia="en-AU" w:bidi="ar-SA"/>
        </w:rPr>
        <w:t xml:space="preserve">saline </w:t>
      </w:r>
      <w:r w:rsidR="00335455" w:rsidRPr="00D748A0">
        <w:rPr>
          <w:lang w:eastAsia="en-AU" w:bidi="ar-SA"/>
        </w:rPr>
        <w:t xml:space="preserve">negative control group. </w:t>
      </w:r>
      <w:r w:rsidR="00B96BBB" w:rsidRPr="00D748A0">
        <w:rPr>
          <w:lang w:eastAsia="en-AU" w:bidi="ar-SA"/>
        </w:rPr>
        <w:t>For both the intravenous and oral inoculation studies,</w:t>
      </w:r>
      <w:r w:rsidR="00D13D1E" w:rsidRPr="00D748A0">
        <w:rPr>
          <w:lang w:eastAsia="en-AU" w:bidi="ar-SA"/>
        </w:rPr>
        <w:t xml:space="preserve"> mice were observ</w:t>
      </w:r>
      <w:r w:rsidR="00D13D1E" w:rsidRPr="00D748A0">
        <w:t>e</w:t>
      </w:r>
      <w:r w:rsidR="00D13D1E" w:rsidRPr="00D748A0">
        <w:rPr>
          <w:lang w:eastAsia="en-AU" w:bidi="ar-SA"/>
        </w:rPr>
        <w:t>d daily for 14 days and weights measured on days 0, 1, 3, 7, 10 and 14. On day 14</w:t>
      </w:r>
      <w:r w:rsidR="008D3447" w:rsidRPr="00D748A0">
        <w:rPr>
          <w:lang w:eastAsia="en-AU" w:bidi="ar-SA"/>
        </w:rPr>
        <w:t xml:space="preserve">, the mice were </w:t>
      </w:r>
      <w:r w:rsidR="00B813CF">
        <w:rPr>
          <w:lang w:eastAsia="en-AU" w:bidi="ar-SA"/>
        </w:rPr>
        <w:t>kill</w:t>
      </w:r>
      <w:r w:rsidR="00B813CF" w:rsidRPr="00D748A0">
        <w:rPr>
          <w:lang w:eastAsia="en-AU" w:bidi="ar-SA"/>
        </w:rPr>
        <w:t>ed</w:t>
      </w:r>
      <w:r w:rsidR="00FE0900" w:rsidRPr="00D748A0">
        <w:rPr>
          <w:lang w:eastAsia="en-AU" w:bidi="ar-SA"/>
        </w:rPr>
        <w:t>, the brain, liver, lungs, spleen and kidneys were aseptically removed,</w:t>
      </w:r>
      <w:r w:rsidR="00D13D1E" w:rsidRPr="00D748A0">
        <w:rPr>
          <w:lang w:eastAsia="en-AU" w:bidi="ar-SA"/>
        </w:rPr>
        <w:t xml:space="preserve"> and the tissues prepared for cell isolation and histopathology.</w:t>
      </w:r>
    </w:p>
    <w:p w14:paraId="4E5C5B75" w14:textId="77777777" w:rsidR="00D13D1E" w:rsidRPr="00D748A0" w:rsidRDefault="00D13D1E" w:rsidP="00E220F5">
      <w:pPr>
        <w:rPr>
          <w:lang w:eastAsia="en-AU" w:bidi="ar-SA"/>
        </w:rPr>
      </w:pPr>
    </w:p>
    <w:p w14:paraId="29DE3F0D" w14:textId="1F073C36" w:rsidR="00D13D1E" w:rsidRPr="00D748A0" w:rsidRDefault="00895F81" w:rsidP="00E220F5">
      <w:pPr>
        <w:rPr>
          <w:lang w:eastAsia="en-AU" w:bidi="ar-SA"/>
        </w:rPr>
      </w:pPr>
      <w:r w:rsidRPr="00D748A0">
        <w:rPr>
          <w:lang w:eastAsia="en-AU" w:bidi="ar-SA"/>
        </w:rPr>
        <w:t>In</w:t>
      </w:r>
      <w:r w:rsidR="00216255" w:rsidRPr="00D748A0">
        <w:rPr>
          <w:lang w:eastAsia="en-AU" w:bidi="ar-SA"/>
        </w:rPr>
        <w:t xml:space="preserve"> both</w:t>
      </w:r>
      <w:r w:rsidRPr="00D748A0">
        <w:rPr>
          <w:lang w:eastAsia="en-AU" w:bidi="ar-SA"/>
        </w:rPr>
        <w:t xml:space="preserve"> the intravenous </w:t>
      </w:r>
      <w:r w:rsidR="00216255" w:rsidRPr="00D748A0">
        <w:rPr>
          <w:lang w:eastAsia="en-AU" w:bidi="ar-SA"/>
        </w:rPr>
        <w:t>and oral inoculation studies</w:t>
      </w:r>
      <w:r w:rsidRPr="00D748A0">
        <w:rPr>
          <w:lang w:eastAsia="en-AU" w:bidi="ar-SA"/>
        </w:rPr>
        <w:t xml:space="preserve">, no deaths were observed in any of the controls or </w:t>
      </w:r>
      <w:r w:rsidRPr="00D748A0">
        <w:rPr>
          <w:i/>
          <w:lang w:eastAsia="en-AU" w:bidi="ar-SA"/>
        </w:rPr>
        <w:t>C. proteolyticum</w:t>
      </w:r>
      <w:r w:rsidRPr="00D748A0">
        <w:rPr>
          <w:lang w:eastAsia="en-AU" w:bidi="ar-SA"/>
        </w:rPr>
        <w:t xml:space="preserve"> </w:t>
      </w:r>
      <w:r w:rsidR="00E839F6" w:rsidRPr="00D748A0">
        <w:rPr>
          <w:lang w:eastAsia="en-AU" w:bidi="ar-SA"/>
        </w:rPr>
        <w:t>and supernatant challenge</w:t>
      </w:r>
      <w:r w:rsidRPr="00D748A0">
        <w:rPr>
          <w:lang w:eastAsia="en-AU" w:bidi="ar-SA"/>
        </w:rPr>
        <w:t xml:space="preserve"> groups. </w:t>
      </w:r>
      <w:r w:rsidR="008D3447" w:rsidRPr="00D748A0">
        <w:rPr>
          <w:lang w:eastAsia="en-AU" w:bidi="ar-SA"/>
        </w:rPr>
        <w:t xml:space="preserve">In the high </w:t>
      </w:r>
      <w:r w:rsidR="00E839F6" w:rsidRPr="00D748A0">
        <w:rPr>
          <w:i/>
          <w:lang w:eastAsia="en-AU" w:bidi="ar-SA"/>
        </w:rPr>
        <w:t>C. proteolyticum</w:t>
      </w:r>
      <w:r w:rsidR="00E839F6" w:rsidRPr="00D748A0">
        <w:rPr>
          <w:lang w:eastAsia="en-AU" w:bidi="ar-SA"/>
        </w:rPr>
        <w:t xml:space="preserve"> </w:t>
      </w:r>
      <w:r w:rsidR="008D3447" w:rsidRPr="00D748A0">
        <w:rPr>
          <w:lang w:eastAsia="en-AU" w:bidi="ar-SA"/>
        </w:rPr>
        <w:t xml:space="preserve">dose group and cell lysate </w:t>
      </w:r>
      <w:r w:rsidR="007118FE" w:rsidRPr="00D748A0">
        <w:rPr>
          <w:lang w:eastAsia="en-AU" w:bidi="ar-SA"/>
        </w:rPr>
        <w:t xml:space="preserve">control, </w:t>
      </w:r>
      <w:r w:rsidR="00E839F6" w:rsidRPr="00D748A0">
        <w:rPr>
          <w:lang w:eastAsia="en-AU" w:bidi="ar-SA"/>
        </w:rPr>
        <w:t xml:space="preserve">a transient decrease in locomotor activity, prone position and piloerection were observed 15 minutes after the </w:t>
      </w:r>
      <w:r w:rsidR="00FE0900" w:rsidRPr="00D748A0">
        <w:rPr>
          <w:lang w:eastAsia="en-AU" w:bidi="ar-SA"/>
        </w:rPr>
        <w:t>inoculation, which</w:t>
      </w:r>
      <w:r w:rsidR="00E839F6" w:rsidRPr="00D748A0">
        <w:rPr>
          <w:lang w:eastAsia="en-AU" w:bidi="ar-SA"/>
        </w:rPr>
        <w:t xml:space="preserve"> disappeared after approximately 3 hours. No deaths or adverse effects were observed after oral inoculation with </w:t>
      </w:r>
      <w:r w:rsidR="00E839F6" w:rsidRPr="00D748A0">
        <w:rPr>
          <w:i/>
          <w:lang w:eastAsia="en-AU" w:bidi="ar-SA"/>
        </w:rPr>
        <w:t>C. proteolyticum</w:t>
      </w:r>
      <w:r w:rsidR="00E839F6" w:rsidRPr="00D748A0">
        <w:rPr>
          <w:lang w:eastAsia="en-AU" w:bidi="ar-SA"/>
        </w:rPr>
        <w:t xml:space="preserve"> cells. No effects on body weight were observed in the </w:t>
      </w:r>
      <w:r w:rsidR="00E839F6" w:rsidRPr="00D748A0">
        <w:rPr>
          <w:i/>
          <w:lang w:eastAsia="en-AU" w:bidi="ar-SA"/>
        </w:rPr>
        <w:t>C. proteolyticum</w:t>
      </w:r>
      <w:r w:rsidR="00E839F6" w:rsidRPr="00D748A0">
        <w:rPr>
          <w:lang w:eastAsia="en-AU" w:bidi="ar-SA"/>
        </w:rPr>
        <w:t xml:space="preserve"> challenge groups. Animals challenged with </w:t>
      </w:r>
      <w:r w:rsidR="00E839F6" w:rsidRPr="00D748A0">
        <w:rPr>
          <w:i/>
          <w:lang w:eastAsia="en-AU" w:bidi="ar-SA"/>
        </w:rPr>
        <w:t>P. aeruginosa</w:t>
      </w:r>
      <w:r w:rsidR="00E839F6" w:rsidRPr="00D748A0">
        <w:rPr>
          <w:lang w:eastAsia="en-AU" w:bidi="ar-SA"/>
        </w:rPr>
        <w:t xml:space="preserve"> experienced dose related decreases in body weight, mortality and continuous piloerection and torticollis. Six mice in the </w:t>
      </w:r>
      <w:r w:rsidR="00E839F6" w:rsidRPr="00D748A0">
        <w:rPr>
          <w:i/>
          <w:lang w:eastAsia="en-AU" w:bidi="ar-SA"/>
        </w:rPr>
        <w:t>P. aeruginosa</w:t>
      </w:r>
      <w:r w:rsidR="00E839F6" w:rsidRPr="00D748A0">
        <w:rPr>
          <w:lang w:eastAsia="en-AU" w:bidi="ar-SA"/>
        </w:rPr>
        <w:t xml:space="preserve"> high dose group died.</w:t>
      </w:r>
    </w:p>
    <w:p w14:paraId="72CFA6B2" w14:textId="77777777" w:rsidR="00895F81" w:rsidRPr="00D748A0" w:rsidRDefault="00895F81" w:rsidP="00E220F5">
      <w:pPr>
        <w:rPr>
          <w:lang w:eastAsia="en-AU" w:bidi="ar-SA"/>
        </w:rPr>
      </w:pPr>
    </w:p>
    <w:p w14:paraId="19817EAA" w14:textId="3968B044" w:rsidR="00895F81" w:rsidRPr="00D748A0" w:rsidRDefault="00C16B67" w:rsidP="003141E6">
      <w:pPr>
        <w:rPr>
          <w:lang w:eastAsia="en-AU" w:bidi="ar-SA"/>
        </w:rPr>
      </w:pPr>
      <w:r w:rsidRPr="00D748A0">
        <w:rPr>
          <w:lang w:eastAsia="en-AU" w:bidi="ar-SA"/>
        </w:rPr>
        <w:t xml:space="preserve">In both the intravenous and oral inoculation studies, mice challenged with </w:t>
      </w:r>
      <w:r w:rsidRPr="00D748A0">
        <w:rPr>
          <w:i/>
          <w:lang w:eastAsia="en-AU" w:bidi="ar-SA"/>
        </w:rPr>
        <w:t>C. proteolyticum</w:t>
      </w:r>
      <w:r w:rsidRPr="00D748A0">
        <w:rPr>
          <w:lang w:eastAsia="en-AU" w:bidi="ar-SA"/>
        </w:rPr>
        <w:t xml:space="preserve"> or supernatants showed no signs of inflammation or infection in the observed organs and no </w:t>
      </w:r>
      <w:r w:rsidR="00630E81" w:rsidRPr="00D748A0">
        <w:rPr>
          <w:lang w:eastAsia="en-AU" w:bidi="ar-SA"/>
        </w:rPr>
        <w:t xml:space="preserve">viable </w:t>
      </w:r>
      <w:r w:rsidRPr="00D748A0">
        <w:rPr>
          <w:lang w:eastAsia="en-AU" w:bidi="ar-SA"/>
        </w:rPr>
        <w:t xml:space="preserve">cells were detected. </w:t>
      </w:r>
      <w:r w:rsidR="00630E81" w:rsidRPr="00D748A0">
        <w:rPr>
          <w:lang w:eastAsia="en-AU" w:bidi="ar-SA"/>
        </w:rPr>
        <w:t xml:space="preserve">In the </w:t>
      </w:r>
      <w:r w:rsidR="00630E81" w:rsidRPr="00D748A0">
        <w:rPr>
          <w:i/>
          <w:lang w:eastAsia="en-AU" w:bidi="ar-SA"/>
        </w:rPr>
        <w:t>P. aeruginosa</w:t>
      </w:r>
      <w:r w:rsidR="00630E81" w:rsidRPr="00D748A0">
        <w:rPr>
          <w:lang w:eastAsia="en-AU" w:bidi="ar-SA"/>
        </w:rPr>
        <w:t xml:space="preserve"> low dose challenge group, purulent inflammation and viable cells were detected in 1 of 10 mice and in all four of the surviving </w:t>
      </w:r>
      <w:r w:rsidR="00630E81" w:rsidRPr="00D748A0">
        <w:rPr>
          <w:lang w:eastAsia="en-AU" w:bidi="ar-SA"/>
        </w:rPr>
        <w:lastRenderedPageBreak/>
        <w:t xml:space="preserve">mice in the high dose group. The histopathological findings of the intravenous and oral challenge studies for </w:t>
      </w:r>
      <w:r w:rsidR="00630E81" w:rsidRPr="00D748A0">
        <w:rPr>
          <w:i/>
          <w:lang w:eastAsia="en-AU" w:bidi="ar-SA"/>
        </w:rPr>
        <w:t>C. proteolyticum</w:t>
      </w:r>
      <w:r w:rsidR="00630E81" w:rsidRPr="00D748A0">
        <w:rPr>
          <w:lang w:eastAsia="en-AU" w:bidi="ar-SA"/>
        </w:rPr>
        <w:t xml:space="preserve"> and supernatants showed no gross abnormalities in the brain, lungs, liver, spleen or kidneys. Focal necrosis was found in the liver of 4 of 10 mice in the high dose </w:t>
      </w:r>
      <w:r w:rsidR="00630E81" w:rsidRPr="00D748A0">
        <w:rPr>
          <w:i/>
          <w:lang w:eastAsia="en-AU" w:bidi="ar-SA"/>
        </w:rPr>
        <w:t xml:space="preserve">C. proteolyticum </w:t>
      </w:r>
      <w:r w:rsidR="003141E6" w:rsidRPr="00D748A0">
        <w:rPr>
          <w:lang w:eastAsia="en-AU" w:bidi="ar-SA"/>
        </w:rPr>
        <w:t xml:space="preserve">intravenous </w:t>
      </w:r>
      <w:r w:rsidR="00630E81" w:rsidRPr="00D748A0">
        <w:rPr>
          <w:lang w:eastAsia="en-AU" w:bidi="ar-SA"/>
        </w:rPr>
        <w:t xml:space="preserve">challenge group and 1 of 10 mice in the </w:t>
      </w:r>
      <w:r w:rsidR="00630E81" w:rsidRPr="00D748A0">
        <w:rPr>
          <w:i/>
          <w:lang w:eastAsia="en-AU" w:bidi="ar-SA"/>
        </w:rPr>
        <w:t>C. proteolyticum</w:t>
      </w:r>
      <w:r w:rsidR="00630E81" w:rsidRPr="00D748A0">
        <w:rPr>
          <w:lang w:eastAsia="en-AU" w:bidi="ar-SA"/>
        </w:rPr>
        <w:t xml:space="preserve"> cell lysate </w:t>
      </w:r>
      <w:r w:rsidR="00A53C98" w:rsidRPr="00D748A0">
        <w:rPr>
          <w:lang w:eastAsia="en-AU" w:bidi="ar-SA"/>
        </w:rPr>
        <w:t xml:space="preserve">intravenous </w:t>
      </w:r>
      <w:r w:rsidR="00630E81" w:rsidRPr="00D748A0">
        <w:rPr>
          <w:lang w:eastAsia="en-AU" w:bidi="ar-SA"/>
        </w:rPr>
        <w:t xml:space="preserve">group. </w:t>
      </w:r>
      <w:r w:rsidR="003141E6" w:rsidRPr="00D748A0">
        <w:rPr>
          <w:lang w:eastAsia="en-AU" w:bidi="ar-SA"/>
        </w:rPr>
        <w:t>In the oral inoculation study, focal necrosis was observed in the liver of 1 of 5 animals of the saline control group</w:t>
      </w:r>
      <w:r w:rsidR="00630E81" w:rsidRPr="00D748A0">
        <w:rPr>
          <w:lang w:eastAsia="en-AU" w:bidi="ar-SA"/>
        </w:rPr>
        <w:t xml:space="preserve">. Extensive histopathological findings were </w:t>
      </w:r>
      <w:r w:rsidR="009207A3" w:rsidRPr="00D748A0">
        <w:rPr>
          <w:lang w:eastAsia="en-AU" w:bidi="ar-SA"/>
        </w:rPr>
        <w:t>observed</w:t>
      </w:r>
      <w:r w:rsidR="00630E81" w:rsidRPr="00D748A0">
        <w:rPr>
          <w:lang w:eastAsia="en-AU" w:bidi="ar-SA"/>
        </w:rPr>
        <w:t xml:space="preserve"> in all mice challenged intravenously with a high dose of </w:t>
      </w:r>
      <w:r w:rsidR="00630E81" w:rsidRPr="00D748A0">
        <w:rPr>
          <w:i/>
          <w:lang w:eastAsia="en-AU" w:bidi="ar-SA"/>
        </w:rPr>
        <w:t>P. aeruginosa</w:t>
      </w:r>
      <w:r w:rsidR="00630E81" w:rsidRPr="00D748A0">
        <w:rPr>
          <w:lang w:eastAsia="en-AU" w:bidi="ar-SA"/>
        </w:rPr>
        <w:t xml:space="preserve">. </w:t>
      </w:r>
    </w:p>
    <w:p w14:paraId="218E6872" w14:textId="77777777" w:rsidR="00CF6A23" w:rsidRPr="00D748A0" w:rsidRDefault="00CF6A23" w:rsidP="00E220F5">
      <w:pPr>
        <w:rPr>
          <w:lang w:eastAsia="en-AU" w:bidi="ar-SA"/>
        </w:rPr>
      </w:pPr>
    </w:p>
    <w:p w14:paraId="30805BD1" w14:textId="3C8810C8" w:rsidR="00666450" w:rsidRPr="00D748A0" w:rsidRDefault="00666450" w:rsidP="00666450">
      <w:pPr>
        <w:rPr>
          <w:lang w:eastAsia="en-AU" w:bidi="ar-SA"/>
        </w:rPr>
      </w:pPr>
      <w:r w:rsidRPr="00D748A0">
        <w:rPr>
          <w:lang w:eastAsia="en-AU" w:bidi="ar-SA"/>
        </w:rPr>
        <w:t xml:space="preserve">In supernatants of both the culture broth and cell lysate of the </w:t>
      </w:r>
      <w:r w:rsidRPr="00D748A0">
        <w:rPr>
          <w:i/>
          <w:lang w:eastAsia="en-AU" w:bidi="ar-SA"/>
        </w:rPr>
        <w:t>C. proteolyticum</w:t>
      </w:r>
      <w:r w:rsidRPr="00D748A0">
        <w:rPr>
          <w:lang w:eastAsia="en-AU" w:bidi="ar-SA"/>
        </w:rPr>
        <w:t xml:space="preserve"> cells, 0.03 EU/ml of endotoxin was detected in the 100-fold diluted supernatant but not in the 1000-fold-diluent. This implies an endotoxin concentration between 3 and 30 EU/ml in the original preparations. This level of endotoxin is reported to be typical of the endotoxin levels found in drinking water and teas (1.0–533 EU/ml; reviewed by Petsch and Anspach 2000). </w:t>
      </w:r>
    </w:p>
    <w:p w14:paraId="4AF8ABA3" w14:textId="77777777" w:rsidR="00666450" w:rsidRPr="00D748A0" w:rsidRDefault="00666450" w:rsidP="00666450">
      <w:pPr>
        <w:rPr>
          <w:lang w:eastAsia="en-AU" w:bidi="ar-SA"/>
        </w:rPr>
      </w:pPr>
    </w:p>
    <w:p w14:paraId="674DCF88" w14:textId="077F12BF" w:rsidR="00386537" w:rsidRPr="00D748A0" w:rsidRDefault="00CF6A23" w:rsidP="00B6440B">
      <w:pPr>
        <w:rPr>
          <w:lang w:eastAsia="en-AU" w:bidi="ar-SA"/>
        </w:rPr>
      </w:pPr>
      <w:r w:rsidRPr="00D748A0">
        <w:rPr>
          <w:lang w:eastAsia="en-AU" w:bidi="ar-SA"/>
        </w:rPr>
        <w:t xml:space="preserve">Based on these results, it is unlikely for </w:t>
      </w:r>
      <w:r w:rsidRPr="00D748A0">
        <w:rPr>
          <w:i/>
          <w:lang w:eastAsia="en-AU" w:bidi="ar-SA"/>
        </w:rPr>
        <w:t>C. proteolyticum</w:t>
      </w:r>
      <w:r w:rsidRPr="00D748A0">
        <w:rPr>
          <w:lang w:eastAsia="en-AU" w:bidi="ar-SA"/>
        </w:rPr>
        <w:t xml:space="preserve"> strain 9670 to be pathogenic</w:t>
      </w:r>
      <w:r w:rsidR="00666450" w:rsidRPr="00D748A0">
        <w:rPr>
          <w:lang w:eastAsia="en-AU" w:bidi="ar-SA"/>
        </w:rPr>
        <w:t xml:space="preserve"> or toxigenic</w:t>
      </w:r>
      <w:r w:rsidRPr="00D748A0">
        <w:rPr>
          <w:lang w:eastAsia="en-AU" w:bidi="ar-SA"/>
        </w:rPr>
        <w:t xml:space="preserve">. </w:t>
      </w:r>
    </w:p>
    <w:p w14:paraId="38CACCF2" w14:textId="38191D2B" w:rsidR="00C53234" w:rsidRPr="004E22A4" w:rsidRDefault="00C53234" w:rsidP="004E22A4">
      <w:pPr>
        <w:pStyle w:val="Heading5"/>
      </w:pPr>
      <w:r w:rsidRPr="004E22A4">
        <w:t>Single intravenous i</w:t>
      </w:r>
      <w:r w:rsidR="00392E99" w:rsidRPr="004E22A4">
        <w:t xml:space="preserve">noculation </w:t>
      </w:r>
      <w:r w:rsidR="0029142F" w:rsidRPr="004E22A4">
        <w:t xml:space="preserve">of </w:t>
      </w:r>
      <w:r w:rsidR="004E22A4" w:rsidRPr="004E22A4">
        <w:t xml:space="preserve">PG-producing bacterial suspensions and single oral inoculation of PG-producing bacterial culture </w:t>
      </w:r>
      <w:r w:rsidR="006E614A" w:rsidRPr="004E22A4">
        <w:t>[</w:t>
      </w:r>
      <w:r w:rsidR="004E22A4" w:rsidRPr="004E22A4">
        <w:t xml:space="preserve">Nagese (Study Director); Hashima </w:t>
      </w:r>
      <w:r w:rsidR="004E22A4" w:rsidRPr="00C53234">
        <w:t>Laboratory, Nihon Bioresearch Inc. Study Number 401635 (2016</w:t>
      </w:r>
      <w:r w:rsidR="004E22A4" w:rsidRPr="00093237">
        <w:t>)</w:t>
      </w:r>
      <w:r w:rsidR="004E22A4">
        <w:t>.</w:t>
      </w:r>
      <w:r w:rsidR="006E614A" w:rsidRPr="004E22A4">
        <w:t>]</w:t>
      </w:r>
    </w:p>
    <w:p w14:paraId="222B626C" w14:textId="6ECAF8BE" w:rsidR="00507478" w:rsidRPr="00D748A0" w:rsidRDefault="00507478" w:rsidP="00093237">
      <w:pPr>
        <w:rPr>
          <w:lang w:eastAsia="en-AU" w:bidi="ar-SA"/>
        </w:rPr>
      </w:pPr>
      <w:r w:rsidRPr="00D748A0">
        <w:rPr>
          <w:lang w:eastAsia="en-AU" w:bidi="ar-SA"/>
        </w:rPr>
        <w:t xml:space="preserve">Intravenous </w:t>
      </w:r>
      <w:r w:rsidR="003B0587" w:rsidRPr="00D748A0">
        <w:rPr>
          <w:lang w:eastAsia="en-AU" w:bidi="ar-SA"/>
        </w:rPr>
        <w:t>and</w:t>
      </w:r>
      <w:r w:rsidRPr="00D748A0">
        <w:rPr>
          <w:lang w:eastAsia="en-AU" w:bidi="ar-SA"/>
        </w:rPr>
        <w:t xml:space="preserve"> oral inoculation studies were conducted using the production strain </w:t>
      </w:r>
      <w:r w:rsidRPr="00D748A0">
        <w:rPr>
          <w:i/>
          <w:lang w:eastAsia="en-AU" w:bidi="ar-SA"/>
        </w:rPr>
        <w:t>C. proteolyticum</w:t>
      </w:r>
      <w:r w:rsidRPr="00D748A0">
        <w:rPr>
          <w:lang w:eastAsia="en-AU" w:bidi="ar-SA"/>
        </w:rPr>
        <w:t xml:space="preserve"> AE-PG to assess pathogenicity.</w:t>
      </w:r>
    </w:p>
    <w:p w14:paraId="756B9B6E" w14:textId="77777777" w:rsidR="00507478" w:rsidRPr="00D748A0" w:rsidRDefault="00507478" w:rsidP="00507478">
      <w:pPr>
        <w:rPr>
          <w:lang w:eastAsia="en-AU" w:bidi="ar-SA"/>
        </w:rPr>
      </w:pPr>
    </w:p>
    <w:p w14:paraId="3C36AEC4" w14:textId="6FDB4200" w:rsidR="00507478" w:rsidRPr="00D748A0" w:rsidRDefault="00507478" w:rsidP="00507478">
      <w:pPr>
        <w:rPr>
          <w:lang w:eastAsia="en-AU" w:bidi="ar-SA"/>
        </w:rPr>
      </w:pPr>
      <w:r w:rsidRPr="00D748A0">
        <w:rPr>
          <w:lang w:eastAsia="en-AU" w:bidi="ar-SA"/>
        </w:rPr>
        <w:t xml:space="preserve">In the intravenous inoculation study, five-week old S1c:ICR male and female mice were inoculated by intravenous injection with </w:t>
      </w:r>
      <w:r w:rsidRPr="00D748A0">
        <w:rPr>
          <w:i/>
          <w:lang w:eastAsia="en-AU" w:bidi="ar-SA"/>
        </w:rPr>
        <w:t>C. proteolyticum</w:t>
      </w:r>
      <w:r w:rsidRPr="00D748A0">
        <w:rPr>
          <w:lang w:eastAsia="en-AU" w:bidi="ar-SA"/>
        </w:rPr>
        <w:t xml:space="preserve"> at a dose of either 2.4 x10</w:t>
      </w:r>
      <w:r w:rsidRPr="00D748A0">
        <w:rPr>
          <w:vertAlign w:val="superscript"/>
          <w:lang w:eastAsia="en-AU" w:bidi="ar-SA"/>
        </w:rPr>
        <w:t>7</w:t>
      </w:r>
      <w:r w:rsidRPr="00D748A0">
        <w:rPr>
          <w:lang w:eastAsia="en-AU" w:bidi="ar-SA"/>
        </w:rPr>
        <w:t>, 2.4x10</w:t>
      </w:r>
      <w:r w:rsidRPr="00D748A0">
        <w:rPr>
          <w:vertAlign w:val="superscript"/>
          <w:lang w:eastAsia="en-AU" w:bidi="ar-SA"/>
        </w:rPr>
        <w:t>8</w:t>
      </w:r>
      <w:r w:rsidRPr="00D748A0">
        <w:rPr>
          <w:lang w:eastAsia="en-AU" w:bidi="ar-SA"/>
        </w:rPr>
        <w:t xml:space="preserve"> or 2.4x10</w:t>
      </w:r>
      <w:r w:rsidRPr="00D748A0">
        <w:rPr>
          <w:vertAlign w:val="superscript"/>
          <w:lang w:eastAsia="en-AU" w:bidi="ar-SA"/>
        </w:rPr>
        <w:t>9</w:t>
      </w:r>
      <w:r w:rsidRPr="00D748A0">
        <w:rPr>
          <w:lang w:eastAsia="en-AU" w:bidi="ar-SA"/>
        </w:rPr>
        <w:t xml:space="preserve"> cfu/mouse. The negative control was saline. Ten mice, five male and five female, were inoculated with</w:t>
      </w:r>
      <w:r w:rsidRPr="00D748A0">
        <w:t xml:space="preserve"> a </w:t>
      </w:r>
      <w:r w:rsidRPr="00D748A0">
        <w:rPr>
          <w:i/>
          <w:lang w:eastAsia="en-AU" w:bidi="ar-SA"/>
        </w:rPr>
        <w:t>C. proteolyticum</w:t>
      </w:r>
      <w:r w:rsidRPr="00D748A0">
        <w:rPr>
          <w:lang w:eastAsia="en-AU" w:bidi="ar-SA"/>
        </w:rPr>
        <w:t xml:space="preserve"> suspension at the three different doses for the challenge groups or saline for the negative control group. In the oral inoculation study, five-week old S1c:ICR male mice were inoculated with </w:t>
      </w:r>
      <w:r w:rsidRPr="00D748A0">
        <w:rPr>
          <w:i/>
          <w:lang w:eastAsia="en-AU" w:bidi="ar-SA"/>
        </w:rPr>
        <w:t>C. proteolyticum</w:t>
      </w:r>
      <w:r w:rsidRPr="00D748A0">
        <w:rPr>
          <w:lang w:eastAsia="en-AU" w:bidi="ar-SA"/>
        </w:rPr>
        <w:t xml:space="preserve"> at a dose of 2.1x10</w:t>
      </w:r>
      <w:r w:rsidRPr="00D748A0">
        <w:rPr>
          <w:vertAlign w:val="superscript"/>
          <w:lang w:eastAsia="en-AU" w:bidi="ar-SA"/>
        </w:rPr>
        <w:t>9</w:t>
      </w:r>
      <w:r w:rsidRPr="00D748A0">
        <w:rPr>
          <w:lang w:eastAsia="en-AU" w:bidi="ar-SA"/>
        </w:rPr>
        <w:t xml:space="preserve"> cfu/mouse. The negative control was saline. Ten mice, five male and five female, were included in the challenge group and the saline negative control groups. For both the intravenous and oral inoculation studies, mice were observ</w:t>
      </w:r>
      <w:r w:rsidRPr="00D748A0">
        <w:t>e</w:t>
      </w:r>
      <w:r w:rsidRPr="00D748A0">
        <w:rPr>
          <w:lang w:eastAsia="en-AU" w:bidi="ar-SA"/>
        </w:rPr>
        <w:t xml:space="preserve">d daily for 14 days and weights measured on days 0, 1, 3, 7, 10 and 14. On day 14, the mice were </w:t>
      </w:r>
      <w:r w:rsidR="00FE0900" w:rsidRPr="00D748A0">
        <w:rPr>
          <w:lang w:eastAsia="en-AU" w:bidi="ar-SA"/>
        </w:rPr>
        <w:t>euthanised, the brain, liver, lungs, spleen and kidneys were aseptically removed,</w:t>
      </w:r>
      <w:r w:rsidRPr="00D748A0">
        <w:rPr>
          <w:lang w:eastAsia="en-AU" w:bidi="ar-SA"/>
        </w:rPr>
        <w:t xml:space="preserve"> and the tissues prepared for cell isolation and histopathology.</w:t>
      </w:r>
    </w:p>
    <w:p w14:paraId="18DB6CF2" w14:textId="77777777" w:rsidR="00507478" w:rsidRPr="00D748A0" w:rsidRDefault="00507478" w:rsidP="00507478">
      <w:pPr>
        <w:rPr>
          <w:lang w:eastAsia="en-AU" w:bidi="ar-SA"/>
        </w:rPr>
      </w:pPr>
    </w:p>
    <w:p w14:paraId="34EF4E4A" w14:textId="395E4876" w:rsidR="00507478" w:rsidRPr="00D748A0" w:rsidRDefault="00216255" w:rsidP="00507478">
      <w:pPr>
        <w:rPr>
          <w:lang w:eastAsia="en-AU" w:bidi="ar-SA"/>
        </w:rPr>
      </w:pPr>
      <w:r w:rsidRPr="00D748A0">
        <w:rPr>
          <w:lang w:eastAsia="en-AU" w:bidi="ar-SA"/>
        </w:rPr>
        <w:t>In both the intravenous and oral inoculation studies</w:t>
      </w:r>
      <w:r w:rsidR="00507478" w:rsidRPr="00D748A0">
        <w:rPr>
          <w:lang w:eastAsia="en-AU" w:bidi="ar-SA"/>
        </w:rPr>
        <w:t xml:space="preserve">, no deaths </w:t>
      </w:r>
      <w:r w:rsidRPr="00D748A0">
        <w:rPr>
          <w:lang w:eastAsia="en-AU" w:bidi="ar-SA"/>
        </w:rPr>
        <w:t xml:space="preserve">or abnormal findings </w:t>
      </w:r>
      <w:r w:rsidR="00507478" w:rsidRPr="00D748A0">
        <w:rPr>
          <w:lang w:eastAsia="en-AU" w:bidi="ar-SA"/>
        </w:rPr>
        <w:t>were observed in any of the c</w:t>
      </w:r>
      <w:r w:rsidRPr="00D748A0">
        <w:rPr>
          <w:lang w:eastAsia="en-AU" w:bidi="ar-SA"/>
        </w:rPr>
        <w:t>ontrol</w:t>
      </w:r>
      <w:r w:rsidR="00507478" w:rsidRPr="00D748A0">
        <w:rPr>
          <w:lang w:eastAsia="en-AU" w:bidi="ar-SA"/>
        </w:rPr>
        <w:t xml:space="preserve"> </w:t>
      </w:r>
      <w:r w:rsidRPr="00D748A0">
        <w:rPr>
          <w:lang w:eastAsia="en-AU" w:bidi="ar-SA"/>
        </w:rPr>
        <w:t xml:space="preserve">mice </w:t>
      </w:r>
      <w:r w:rsidR="00507478" w:rsidRPr="00D748A0">
        <w:rPr>
          <w:lang w:eastAsia="en-AU" w:bidi="ar-SA"/>
        </w:rPr>
        <w:t xml:space="preserve">or </w:t>
      </w:r>
      <w:r w:rsidR="00507478" w:rsidRPr="00D748A0">
        <w:rPr>
          <w:i/>
          <w:lang w:eastAsia="en-AU" w:bidi="ar-SA"/>
        </w:rPr>
        <w:t>C. proteolyticum</w:t>
      </w:r>
      <w:r w:rsidR="00507478" w:rsidRPr="00D748A0">
        <w:rPr>
          <w:lang w:eastAsia="en-AU" w:bidi="ar-SA"/>
        </w:rPr>
        <w:t xml:space="preserve"> challenge groups</w:t>
      </w:r>
      <w:r w:rsidRPr="00D748A0">
        <w:rPr>
          <w:lang w:eastAsia="en-AU" w:bidi="ar-SA"/>
        </w:rPr>
        <w:t>.</w:t>
      </w:r>
      <w:r w:rsidR="00507478" w:rsidRPr="00D748A0">
        <w:rPr>
          <w:lang w:eastAsia="en-AU" w:bidi="ar-SA"/>
        </w:rPr>
        <w:t xml:space="preserve"> No effects on body weight were observed in the </w:t>
      </w:r>
      <w:r w:rsidR="00507478" w:rsidRPr="00D748A0">
        <w:rPr>
          <w:i/>
          <w:lang w:eastAsia="en-AU" w:bidi="ar-SA"/>
        </w:rPr>
        <w:t>C. proteolyticum</w:t>
      </w:r>
      <w:r w:rsidR="00507478" w:rsidRPr="00D748A0">
        <w:rPr>
          <w:lang w:eastAsia="en-AU" w:bidi="ar-SA"/>
        </w:rPr>
        <w:t xml:space="preserve"> challenge groups.</w:t>
      </w:r>
    </w:p>
    <w:p w14:paraId="5B9B4692" w14:textId="77777777" w:rsidR="00507478" w:rsidRPr="00D748A0" w:rsidRDefault="00507478" w:rsidP="00507478">
      <w:pPr>
        <w:rPr>
          <w:lang w:eastAsia="en-AU" w:bidi="ar-SA"/>
        </w:rPr>
      </w:pPr>
    </w:p>
    <w:p w14:paraId="6EEF3923" w14:textId="1A0B6C9A" w:rsidR="00507478" w:rsidRPr="00D748A0" w:rsidRDefault="00507478" w:rsidP="00507478">
      <w:pPr>
        <w:rPr>
          <w:lang w:eastAsia="en-AU" w:bidi="ar-SA"/>
        </w:rPr>
      </w:pPr>
      <w:r w:rsidRPr="00D748A0">
        <w:rPr>
          <w:lang w:eastAsia="en-AU" w:bidi="ar-SA"/>
        </w:rPr>
        <w:t xml:space="preserve">In both the intravenous and oral inoculation studies, mice challenged with </w:t>
      </w:r>
      <w:r w:rsidRPr="00D748A0">
        <w:rPr>
          <w:i/>
          <w:lang w:eastAsia="en-AU" w:bidi="ar-SA"/>
        </w:rPr>
        <w:t>C. proteolyticum</w:t>
      </w:r>
      <w:r w:rsidRPr="00D748A0">
        <w:rPr>
          <w:lang w:eastAsia="en-AU" w:bidi="ar-SA"/>
        </w:rPr>
        <w:t xml:space="preserve"> or supernatants showed no signs of inflammation or infection in the observed organs and no viable cells were detected. The histopathological findings of the intravenous and oral challenge studies for </w:t>
      </w:r>
      <w:r w:rsidRPr="00D748A0">
        <w:rPr>
          <w:i/>
          <w:lang w:eastAsia="en-AU" w:bidi="ar-SA"/>
        </w:rPr>
        <w:t>C. proteolyticum</w:t>
      </w:r>
      <w:r w:rsidRPr="00D748A0">
        <w:rPr>
          <w:lang w:eastAsia="en-AU" w:bidi="ar-SA"/>
        </w:rPr>
        <w:t xml:space="preserve"> showed no gross abnormalities in the brain, lungs, liver, spleen or kidneys. Focal necrosis was found in the liver of </w:t>
      </w:r>
      <w:r w:rsidR="00B07DD7" w:rsidRPr="00D748A0">
        <w:rPr>
          <w:lang w:eastAsia="en-AU" w:bidi="ar-SA"/>
        </w:rPr>
        <w:t>1</w:t>
      </w:r>
      <w:r w:rsidRPr="00D748A0">
        <w:rPr>
          <w:lang w:eastAsia="en-AU" w:bidi="ar-SA"/>
        </w:rPr>
        <w:t xml:space="preserve"> of 10 mice in the high dose </w:t>
      </w:r>
      <w:r w:rsidRPr="00D748A0">
        <w:rPr>
          <w:i/>
          <w:lang w:eastAsia="en-AU" w:bidi="ar-SA"/>
        </w:rPr>
        <w:t xml:space="preserve">C. proteolyticum </w:t>
      </w:r>
      <w:r w:rsidR="00B07DD7" w:rsidRPr="00D748A0">
        <w:rPr>
          <w:lang w:eastAsia="en-AU" w:bidi="ar-SA"/>
        </w:rPr>
        <w:t xml:space="preserve">intravenous challenge group. </w:t>
      </w:r>
      <w:r w:rsidRPr="00D748A0">
        <w:rPr>
          <w:lang w:eastAsia="en-AU" w:bidi="ar-SA"/>
        </w:rPr>
        <w:t xml:space="preserve">One of 10 mice challenged orally with </w:t>
      </w:r>
      <w:r w:rsidRPr="00D748A0">
        <w:rPr>
          <w:i/>
          <w:lang w:eastAsia="en-AU" w:bidi="ar-SA"/>
        </w:rPr>
        <w:t>C. proteolyticum</w:t>
      </w:r>
      <w:r w:rsidRPr="00D748A0">
        <w:rPr>
          <w:lang w:eastAsia="en-AU" w:bidi="ar-SA"/>
        </w:rPr>
        <w:t xml:space="preserve"> </w:t>
      </w:r>
      <w:r w:rsidR="00B07DD7" w:rsidRPr="00D748A0">
        <w:rPr>
          <w:lang w:eastAsia="en-AU" w:bidi="ar-SA"/>
        </w:rPr>
        <w:t xml:space="preserve">and 1 of 10 mice in the oral saline negative control group </w:t>
      </w:r>
      <w:r w:rsidRPr="00D748A0">
        <w:rPr>
          <w:lang w:eastAsia="en-AU" w:bidi="ar-SA"/>
        </w:rPr>
        <w:t xml:space="preserve">developed focal necrosis in the </w:t>
      </w:r>
      <w:r w:rsidR="00B07DD7" w:rsidRPr="00D748A0">
        <w:rPr>
          <w:lang w:eastAsia="en-AU" w:bidi="ar-SA"/>
        </w:rPr>
        <w:t>liver</w:t>
      </w:r>
      <w:r w:rsidRPr="00D748A0">
        <w:rPr>
          <w:lang w:eastAsia="en-AU" w:bidi="ar-SA"/>
        </w:rPr>
        <w:t xml:space="preserve">. </w:t>
      </w:r>
    </w:p>
    <w:p w14:paraId="58F5D254" w14:textId="77777777" w:rsidR="000776D0" w:rsidRPr="00D748A0" w:rsidRDefault="000776D0" w:rsidP="00507478">
      <w:pPr>
        <w:rPr>
          <w:lang w:eastAsia="en-AU" w:bidi="ar-SA"/>
        </w:rPr>
      </w:pPr>
    </w:p>
    <w:p w14:paraId="7EFE5D34" w14:textId="5EBCF8B4" w:rsidR="00392E99" w:rsidRDefault="00507478" w:rsidP="00E220F5">
      <w:pPr>
        <w:rPr>
          <w:lang w:eastAsia="en-AU" w:bidi="ar-SA"/>
        </w:rPr>
      </w:pPr>
      <w:r w:rsidRPr="00D748A0">
        <w:rPr>
          <w:lang w:eastAsia="en-AU" w:bidi="ar-SA"/>
        </w:rPr>
        <w:t xml:space="preserve">Based on these results, it is unlikely for </w:t>
      </w:r>
      <w:r w:rsidR="003B0587" w:rsidRPr="00D748A0">
        <w:rPr>
          <w:lang w:eastAsia="en-AU" w:bidi="ar-SA"/>
        </w:rPr>
        <w:t xml:space="preserve">the enzyme production strain, </w:t>
      </w:r>
      <w:r w:rsidRPr="00D748A0">
        <w:rPr>
          <w:i/>
          <w:lang w:eastAsia="en-AU" w:bidi="ar-SA"/>
        </w:rPr>
        <w:t>C. proteolyticum</w:t>
      </w:r>
      <w:r w:rsidRPr="00D748A0">
        <w:rPr>
          <w:lang w:eastAsia="en-AU" w:bidi="ar-SA"/>
        </w:rPr>
        <w:t xml:space="preserve"> </w:t>
      </w:r>
      <w:r w:rsidR="00F87718">
        <w:rPr>
          <w:lang w:eastAsia="en-AU" w:bidi="ar-SA"/>
        </w:rPr>
        <w:t xml:space="preserve">strain </w:t>
      </w:r>
      <w:r w:rsidR="003B0587" w:rsidRPr="00D748A0">
        <w:rPr>
          <w:lang w:eastAsia="en-AU" w:bidi="ar-SA"/>
        </w:rPr>
        <w:t>AE-PG,</w:t>
      </w:r>
      <w:r w:rsidRPr="00D748A0">
        <w:rPr>
          <w:lang w:eastAsia="en-AU" w:bidi="ar-SA"/>
        </w:rPr>
        <w:t xml:space="preserve"> to be pathogenic</w:t>
      </w:r>
      <w:r w:rsidR="00512F83" w:rsidRPr="00D748A0">
        <w:rPr>
          <w:lang w:eastAsia="en-AU" w:bidi="ar-SA"/>
        </w:rPr>
        <w:t xml:space="preserve"> or toxigenic</w:t>
      </w:r>
      <w:r w:rsidRPr="00D748A0">
        <w:rPr>
          <w:lang w:eastAsia="en-AU" w:bidi="ar-SA"/>
        </w:rPr>
        <w:t>.</w:t>
      </w:r>
      <w:r>
        <w:rPr>
          <w:lang w:eastAsia="en-AU" w:bidi="ar-SA"/>
        </w:rPr>
        <w:t xml:space="preserve"> </w:t>
      </w:r>
    </w:p>
    <w:p w14:paraId="0286525B" w14:textId="580141A6" w:rsidR="00DA7BBF" w:rsidRPr="008C0160" w:rsidRDefault="00DA7BBF" w:rsidP="006B4015">
      <w:pPr>
        <w:pStyle w:val="Heading3"/>
      </w:pPr>
      <w:bookmarkStart w:id="63" w:name="_Toc472668683"/>
      <w:bookmarkStart w:id="64" w:name="_Toc476908572"/>
      <w:bookmarkStart w:id="65" w:name="_Toc478375794"/>
      <w:bookmarkStart w:id="66" w:name="_Toc485893685"/>
      <w:bookmarkStart w:id="67" w:name="_Toc492456034"/>
      <w:r w:rsidRPr="008C0160">
        <w:lastRenderedPageBreak/>
        <w:t>3.3</w:t>
      </w:r>
      <w:r w:rsidRPr="008C0160">
        <w:tab/>
      </w:r>
      <w:bookmarkEnd w:id="63"/>
      <w:bookmarkEnd w:id="64"/>
      <w:bookmarkEnd w:id="65"/>
      <w:r w:rsidR="00467531">
        <w:t>Hazard of the enzyme</w:t>
      </w:r>
      <w:bookmarkEnd w:id="66"/>
      <w:bookmarkEnd w:id="67"/>
    </w:p>
    <w:p w14:paraId="0547F01F" w14:textId="00AD992C" w:rsidR="00236F19" w:rsidRPr="00526EF2" w:rsidRDefault="00F31D43" w:rsidP="004E22A4">
      <w:bookmarkStart w:id="68" w:name="_Toc485893686"/>
      <w:r w:rsidRPr="004E22A4">
        <w:rPr>
          <w:b/>
          <w:i/>
          <w:lang w:eastAsia="en-AU" w:bidi="ar-SA"/>
        </w:rPr>
        <w:t>Use of the enzyme as a food processing aid in other countries</w:t>
      </w:r>
      <w:bookmarkEnd w:id="68"/>
    </w:p>
    <w:p w14:paraId="24CFE76C" w14:textId="74B26421" w:rsidR="00F31D43" w:rsidRDefault="00F31D43" w:rsidP="00690206">
      <w:r>
        <w:t>Protein</w:t>
      </w:r>
      <w:r w:rsidR="0095189C">
        <w:t xml:space="preserve"> </w:t>
      </w:r>
      <w:r>
        <w:t xml:space="preserve">glutaminase from </w:t>
      </w:r>
      <w:r w:rsidRPr="00F31D43">
        <w:rPr>
          <w:i/>
        </w:rPr>
        <w:t>C</w:t>
      </w:r>
      <w:r w:rsidR="00BC415D">
        <w:rPr>
          <w:i/>
        </w:rPr>
        <w:t>.</w:t>
      </w:r>
      <w:r w:rsidRPr="00F31D43">
        <w:rPr>
          <w:i/>
        </w:rPr>
        <w:t xml:space="preserve"> proteolyticum</w:t>
      </w:r>
      <w:r w:rsidR="003C485F">
        <w:t xml:space="preserve"> is</w:t>
      </w:r>
      <w:r>
        <w:t xml:space="preserve"> approved for use in France.</w:t>
      </w:r>
      <w:r w:rsidR="00F1643C">
        <w:t xml:space="preserve"> A generally recognised as safe (GRAS) notification</w:t>
      </w:r>
      <w:r w:rsidR="001802BF">
        <w:t xml:space="preserve"> for </w:t>
      </w:r>
      <w:r w:rsidR="00230DE5">
        <w:t xml:space="preserve">use of </w:t>
      </w:r>
      <w:r w:rsidR="001802BF">
        <w:t>the enzyme</w:t>
      </w:r>
      <w:r w:rsidR="00F1643C">
        <w:t xml:space="preserve"> </w:t>
      </w:r>
      <w:r w:rsidR="00230DE5">
        <w:t xml:space="preserve">as a </w:t>
      </w:r>
      <w:r w:rsidR="00FA467A">
        <w:t xml:space="preserve">food </w:t>
      </w:r>
      <w:r w:rsidR="00230DE5">
        <w:t xml:space="preserve">processing aid </w:t>
      </w:r>
      <w:r w:rsidR="00F1643C">
        <w:t xml:space="preserve">was submitted to the US FDA in 2008, and the US FDA responded that it had no questions on this submission in 2009. </w:t>
      </w:r>
    </w:p>
    <w:p w14:paraId="7AB83747" w14:textId="77777777" w:rsidR="00386537" w:rsidRDefault="00386537" w:rsidP="00690206"/>
    <w:p w14:paraId="4FAE30D0" w14:textId="41C85883" w:rsidR="00DA7BBF" w:rsidRPr="00526EF2" w:rsidRDefault="00FA467A" w:rsidP="004E22A4">
      <w:bookmarkStart w:id="69" w:name="_Toc476908573"/>
      <w:bookmarkStart w:id="70" w:name="_Toc478375795"/>
      <w:bookmarkStart w:id="71" w:name="_Toc485893687"/>
      <w:bookmarkEnd w:id="69"/>
      <w:bookmarkEnd w:id="70"/>
      <w:r w:rsidRPr="004E22A4">
        <w:rPr>
          <w:b/>
          <w:i/>
          <w:lang w:eastAsia="en-AU" w:bidi="ar-SA"/>
        </w:rPr>
        <w:t>Evaluation of toxicity studies with the enzyme</w:t>
      </w:r>
      <w:bookmarkEnd w:id="71"/>
    </w:p>
    <w:p w14:paraId="198F685A" w14:textId="03E0C0DA" w:rsidR="00A87FB5" w:rsidRDefault="00A87FB5" w:rsidP="00A87FB5">
      <w:pPr>
        <w:rPr>
          <w:lang w:eastAsia="en-AU" w:bidi="ar-SA"/>
        </w:rPr>
      </w:pPr>
      <w:r>
        <w:rPr>
          <w:lang w:eastAsia="en-AU" w:bidi="ar-SA"/>
        </w:rPr>
        <w:t>The test article in the submitted toxicity studies is stated to be protein</w:t>
      </w:r>
      <w:r w:rsidR="00E06CE5">
        <w:rPr>
          <w:lang w:eastAsia="en-AU" w:bidi="ar-SA"/>
        </w:rPr>
        <w:t xml:space="preserve"> </w:t>
      </w:r>
      <w:r>
        <w:rPr>
          <w:lang w:eastAsia="en-AU" w:bidi="ar-SA"/>
        </w:rPr>
        <w:t xml:space="preserve">glutaminase produced by </w:t>
      </w:r>
      <w:r w:rsidR="00506747" w:rsidRPr="000A34BA">
        <w:rPr>
          <w:i/>
          <w:lang w:eastAsia="en-AU" w:bidi="ar-SA"/>
        </w:rPr>
        <w:t>C</w:t>
      </w:r>
      <w:r w:rsidR="00506747">
        <w:rPr>
          <w:i/>
          <w:lang w:eastAsia="en-AU" w:bidi="ar-SA"/>
        </w:rPr>
        <w:t>.</w:t>
      </w:r>
      <w:r w:rsidR="00506747" w:rsidRPr="000A34BA">
        <w:rPr>
          <w:i/>
          <w:lang w:eastAsia="en-AU" w:bidi="ar-SA"/>
        </w:rPr>
        <w:t xml:space="preserve"> </w:t>
      </w:r>
      <w:r w:rsidRPr="000A34BA">
        <w:rPr>
          <w:i/>
          <w:lang w:eastAsia="en-AU" w:bidi="ar-SA"/>
        </w:rPr>
        <w:t>proteolyticum</w:t>
      </w:r>
      <w:r>
        <w:rPr>
          <w:lang w:eastAsia="en-AU" w:bidi="ar-SA"/>
        </w:rPr>
        <w:t xml:space="preserve">. Although not specifically indicated in the reports, the Applicant has stated that the enzyme was produced by the production strain of </w:t>
      </w:r>
      <w:r w:rsidRPr="000A34BA">
        <w:rPr>
          <w:i/>
          <w:lang w:eastAsia="en-AU" w:bidi="ar-SA"/>
        </w:rPr>
        <w:t>C</w:t>
      </w:r>
      <w:r>
        <w:rPr>
          <w:i/>
          <w:lang w:eastAsia="en-AU" w:bidi="ar-SA"/>
        </w:rPr>
        <w:t>.</w:t>
      </w:r>
      <w:r w:rsidRPr="000A34BA">
        <w:rPr>
          <w:i/>
          <w:lang w:eastAsia="en-AU" w:bidi="ar-SA"/>
        </w:rPr>
        <w:t xml:space="preserve"> proteolyticum</w:t>
      </w:r>
      <w:r w:rsidR="00CE426E">
        <w:rPr>
          <w:i/>
          <w:lang w:eastAsia="en-AU" w:bidi="ar-SA"/>
        </w:rPr>
        <w:t xml:space="preserve"> </w:t>
      </w:r>
      <w:r w:rsidR="00CE426E" w:rsidRPr="00AE6C9D">
        <w:rPr>
          <w:lang w:eastAsia="en-AU" w:bidi="ar-SA"/>
        </w:rPr>
        <w:t>(strain AE-PG)</w:t>
      </w:r>
      <w:r w:rsidRPr="00A87FB5">
        <w:rPr>
          <w:lang w:eastAsia="en-AU" w:bidi="ar-SA"/>
        </w:rPr>
        <w:t>,</w:t>
      </w:r>
      <w:r>
        <w:rPr>
          <w:i/>
          <w:lang w:eastAsia="en-AU" w:bidi="ar-SA"/>
        </w:rPr>
        <w:t xml:space="preserve"> </w:t>
      </w:r>
      <w:r>
        <w:rPr>
          <w:lang w:eastAsia="en-AU" w:bidi="ar-SA"/>
        </w:rPr>
        <w:t>rather than by the parent strain.</w:t>
      </w:r>
    </w:p>
    <w:p w14:paraId="626CBFDD" w14:textId="77777777" w:rsidR="00386537" w:rsidRPr="00A87FB5" w:rsidRDefault="00386537" w:rsidP="00A87FB5">
      <w:pPr>
        <w:rPr>
          <w:lang w:eastAsia="en-AU" w:bidi="ar-SA"/>
        </w:rPr>
      </w:pPr>
    </w:p>
    <w:p w14:paraId="4BEBDAD0" w14:textId="1D276641" w:rsidR="00FA467A" w:rsidRPr="00526EF2" w:rsidRDefault="00FA467A" w:rsidP="004E22A4">
      <w:bookmarkStart w:id="72" w:name="_Toc485893688"/>
      <w:r w:rsidRPr="004E22A4">
        <w:rPr>
          <w:b/>
          <w:i/>
          <w:lang w:eastAsia="en-AU" w:bidi="ar-SA"/>
        </w:rPr>
        <w:t>Genotoxicity</w:t>
      </w:r>
      <w:bookmarkEnd w:id="72"/>
    </w:p>
    <w:p w14:paraId="5C7F6ECF" w14:textId="62727574" w:rsidR="00DA7BBF" w:rsidRDefault="000A34BA" w:rsidP="000A34BA">
      <w:pPr>
        <w:rPr>
          <w:lang w:eastAsia="en-AU" w:bidi="ar-SA"/>
        </w:rPr>
      </w:pPr>
      <w:r>
        <w:rPr>
          <w:lang w:eastAsia="en-AU" w:bidi="ar-SA"/>
        </w:rPr>
        <w:t>Two genotoxicity studies were submitted by the applicant, a bacterial r</w:t>
      </w:r>
      <w:r w:rsidR="00E220F5">
        <w:rPr>
          <w:lang w:eastAsia="en-AU" w:bidi="ar-SA"/>
        </w:rPr>
        <w:t>everse mutation assay and a chro</w:t>
      </w:r>
      <w:r>
        <w:rPr>
          <w:lang w:eastAsia="en-AU" w:bidi="ar-SA"/>
        </w:rPr>
        <w:t xml:space="preserve">mosomal aberration assay in mammalian cells. </w:t>
      </w:r>
    </w:p>
    <w:p w14:paraId="106D507E" w14:textId="022E47FC" w:rsidR="00CE426E" w:rsidRDefault="000A34BA" w:rsidP="00CE426E">
      <w:pPr>
        <w:pStyle w:val="Heading5"/>
      </w:pPr>
      <w:r>
        <w:t xml:space="preserve">Safety studies of protein-glutaminase produced by Chryseobacterium proteolyticum </w:t>
      </w:r>
      <w:r w:rsidR="00C329D9">
        <w:t xml:space="preserve">- </w:t>
      </w:r>
      <w:r>
        <w:t xml:space="preserve"> reverse mutation </w:t>
      </w:r>
      <w:r w:rsidR="006570B1">
        <w:t>test in bacteria</w:t>
      </w:r>
      <w:r w:rsidR="00C329D9">
        <w:t>.</w:t>
      </w:r>
      <w:r w:rsidR="00F16865">
        <w:t xml:space="preserve"> </w:t>
      </w:r>
      <w:r w:rsidR="00C329D9">
        <w:t>[</w:t>
      </w:r>
      <w:r w:rsidR="006570B1">
        <w:t>Sui (Study Director); Hatano Research Institute, Food and Drug Safety Center study number M-03-067 (2004)</w:t>
      </w:r>
      <w:r w:rsidR="00F16865">
        <w:t>.</w:t>
      </w:r>
      <w:r w:rsidR="00C329D9">
        <w:t>]</w:t>
      </w:r>
      <w:r w:rsidR="00F16865">
        <w:t xml:space="preserve"> </w:t>
      </w:r>
    </w:p>
    <w:p w14:paraId="45F52C6A" w14:textId="38C3BA3C" w:rsidR="001E6315" w:rsidRDefault="006570B1" w:rsidP="006570B1">
      <w:pPr>
        <w:rPr>
          <w:lang w:bidi="ar-SA"/>
        </w:rPr>
      </w:pPr>
      <w:r>
        <w:rPr>
          <w:lang w:bidi="ar-SA"/>
        </w:rPr>
        <w:t>The study was conducted in compliance with OECD Principles of Good Laboratory Practice</w:t>
      </w:r>
      <w:r w:rsidR="00A746D1">
        <w:rPr>
          <w:lang w:bidi="ar-SA"/>
        </w:rPr>
        <w:t xml:space="preserve"> (GLP)</w:t>
      </w:r>
      <w:r>
        <w:rPr>
          <w:lang w:bidi="ar-SA"/>
        </w:rPr>
        <w:t xml:space="preserve"> and in accordance with OECD Test Guideline (TG) 471,</w:t>
      </w:r>
      <w:r w:rsidR="004803A0">
        <w:rPr>
          <w:lang w:bidi="ar-SA"/>
        </w:rPr>
        <w:t xml:space="preserve"> the</w:t>
      </w:r>
      <w:r>
        <w:rPr>
          <w:lang w:bidi="ar-SA"/>
        </w:rPr>
        <w:t xml:space="preserve"> Bacterial Reverse Mutation Test (July 1997). </w:t>
      </w:r>
      <w:r w:rsidR="004803A0">
        <w:rPr>
          <w:lang w:bidi="ar-SA"/>
        </w:rPr>
        <w:t>Relevant Japanese standards were also followed.</w:t>
      </w:r>
      <w:r w:rsidR="00CE426E">
        <w:rPr>
          <w:lang w:bidi="ar-SA"/>
        </w:rPr>
        <w:t xml:space="preserve"> The test item was protein glutaminase from </w:t>
      </w:r>
      <w:r w:rsidR="00CE426E" w:rsidRPr="00CE426E">
        <w:rPr>
          <w:i/>
          <w:lang w:bidi="ar-SA"/>
        </w:rPr>
        <w:t>C. proteolyticum</w:t>
      </w:r>
      <w:r w:rsidR="00CE426E">
        <w:rPr>
          <w:lang w:bidi="ar-SA"/>
        </w:rPr>
        <w:t xml:space="preserve"> strain AE-PG. </w:t>
      </w:r>
    </w:p>
    <w:p w14:paraId="786856F9" w14:textId="77777777" w:rsidR="00057186" w:rsidRDefault="00057186" w:rsidP="006570B1">
      <w:pPr>
        <w:rPr>
          <w:lang w:bidi="ar-SA"/>
        </w:rPr>
      </w:pPr>
    </w:p>
    <w:p w14:paraId="1FD92D49" w14:textId="57D215D6" w:rsidR="001E6315" w:rsidRDefault="001E6315" w:rsidP="006570B1">
      <w:pPr>
        <w:rPr>
          <w:lang w:eastAsia="en-AU" w:bidi="ar-SA"/>
        </w:rPr>
      </w:pPr>
      <w:r>
        <w:rPr>
          <w:lang w:bidi="ar-SA"/>
        </w:rPr>
        <w:t xml:space="preserve">The tester strains used in the study were </w:t>
      </w:r>
      <w:r w:rsidRPr="001E6315">
        <w:rPr>
          <w:i/>
          <w:lang w:bidi="ar-SA"/>
        </w:rPr>
        <w:t>Salmonella typhimurium</w:t>
      </w:r>
      <w:r>
        <w:rPr>
          <w:lang w:bidi="ar-SA"/>
        </w:rPr>
        <w:t xml:space="preserve"> TA100, TA1535, TA98, TA1537 and </w:t>
      </w:r>
      <w:r w:rsidRPr="001E6315">
        <w:rPr>
          <w:i/>
          <w:lang w:bidi="ar-SA"/>
        </w:rPr>
        <w:t>Escherichia coli</w:t>
      </w:r>
      <w:r>
        <w:rPr>
          <w:lang w:bidi="ar-SA"/>
        </w:rPr>
        <w:t xml:space="preserve"> WP2 uvrA. Based on the results of a dose range finding</w:t>
      </w:r>
      <w:r w:rsidR="00837333">
        <w:rPr>
          <w:lang w:bidi="ar-SA"/>
        </w:rPr>
        <w:t xml:space="preserve"> study,</w:t>
      </w:r>
      <w:r>
        <w:rPr>
          <w:lang w:bidi="ar-SA"/>
        </w:rPr>
        <w:t xml:space="preserve"> test </w:t>
      </w:r>
      <w:r w:rsidR="005C61C9">
        <w:rPr>
          <w:lang w:bidi="ar-SA"/>
        </w:rPr>
        <w:t xml:space="preserve">doses of 313, 625, 1250, 2500 and 5000 </w:t>
      </w:r>
      <w:r w:rsidR="005C61C9">
        <w:rPr>
          <w:rFonts w:cs="Arial"/>
          <w:lang w:bidi="ar-SA"/>
        </w:rPr>
        <w:t>µ</w:t>
      </w:r>
      <w:r w:rsidR="005C61C9">
        <w:rPr>
          <w:lang w:bidi="ar-SA"/>
        </w:rPr>
        <w:t>g</w:t>
      </w:r>
      <w:r w:rsidR="00E06CE5">
        <w:rPr>
          <w:lang w:bidi="ar-SA"/>
        </w:rPr>
        <w:t xml:space="preserve"> protein glutaminase</w:t>
      </w:r>
      <w:r w:rsidR="005C61C9">
        <w:rPr>
          <w:lang w:bidi="ar-SA"/>
        </w:rPr>
        <w:t xml:space="preserve">/plate were used in the mutagenicity tests. </w:t>
      </w:r>
      <w:r w:rsidR="00F67354">
        <w:rPr>
          <w:lang w:eastAsia="en-AU" w:bidi="ar-SA"/>
        </w:rPr>
        <w:t xml:space="preserve">The test was conducted by the preincubation method with and without metabolic activation. </w:t>
      </w:r>
      <w:r w:rsidR="00837333">
        <w:rPr>
          <w:lang w:eastAsia="en-AU" w:bidi="ar-SA"/>
        </w:rPr>
        <w:t>C</w:t>
      </w:r>
      <w:r w:rsidR="00F67354">
        <w:rPr>
          <w:lang w:eastAsia="en-AU" w:bidi="ar-SA"/>
        </w:rPr>
        <w:t xml:space="preserve">riteria for a positive response were a two-fold increase in the mean number of revertants compared with the negative control, and demonstration of a dose-response. </w:t>
      </w:r>
    </w:p>
    <w:p w14:paraId="0858B0B7" w14:textId="77777777" w:rsidR="00057186" w:rsidRDefault="00057186" w:rsidP="006570B1">
      <w:pPr>
        <w:rPr>
          <w:lang w:eastAsia="en-AU" w:bidi="ar-SA"/>
        </w:rPr>
      </w:pPr>
    </w:p>
    <w:p w14:paraId="7687C15C" w14:textId="278A84D8" w:rsidR="00F67354" w:rsidRDefault="00CA79A6" w:rsidP="006570B1">
      <w:pPr>
        <w:rPr>
          <w:lang w:bidi="ar-SA"/>
        </w:rPr>
      </w:pPr>
      <w:r>
        <w:rPr>
          <w:lang w:bidi="ar-SA"/>
        </w:rPr>
        <w:t>Growth inhibition by the test article was not observed in any of the tester strains at any dose, with or without S9. No precipitation of the test article was observed. There was no</w:t>
      </w:r>
      <w:r w:rsidR="00837333">
        <w:rPr>
          <w:lang w:bidi="ar-SA"/>
        </w:rPr>
        <w:t xml:space="preserve"> test article-induced</w:t>
      </w:r>
      <w:r>
        <w:rPr>
          <w:lang w:bidi="ar-SA"/>
        </w:rPr>
        <w:t xml:space="preserve"> increase in the number of revertant colonies compared with </w:t>
      </w:r>
      <w:r w:rsidR="003E5EB5">
        <w:rPr>
          <w:lang w:bidi="ar-SA"/>
        </w:rPr>
        <w:t xml:space="preserve">negative </w:t>
      </w:r>
      <w:r>
        <w:rPr>
          <w:lang w:bidi="ar-SA"/>
        </w:rPr>
        <w:t xml:space="preserve">controls </w:t>
      </w:r>
      <w:r w:rsidR="003E5EB5">
        <w:rPr>
          <w:lang w:bidi="ar-SA"/>
        </w:rPr>
        <w:t xml:space="preserve">in any strain, with or without metabolic activation. In contrast, all positive controls produced the expected mutagenic response. Negative and positive control values were within the range of the historical control values for the test facility. </w:t>
      </w:r>
    </w:p>
    <w:p w14:paraId="08170CD7" w14:textId="77777777" w:rsidR="00057186" w:rsidRDefault="00057186" w:rsidP="006570B1">
      <w:pPr>
        <w:rPr>
          <w:lang w:bidi="ar-SA"/>
        </w:rPr>
      </w:pPr>
    </w:p>
    <w:p w14:paraId="3B7CE938" w14:textId="555877DF" w:rsidR="003E5EB5" w:rsidRDefault="00E06CE5" w:rsidP="006570B1">
      <w:pPr>
        <w:rPr>
          <w:lang w:eastAsia="en-AU" w:bidi="ar-SA"/>
        </w:rPr>
      </w:pPr>
      <w:r>
        <w:rPr>
          <w:lang w:bidi="ar-SA"/>
        </w:rPr>
        <w:t>P</w:t>
      </w:r>
      <w:r w:rsidR="003E5EB5">
        <w:rPr>
          <w:lang w:bidi="ar-SA"/>
        </w:rPr>
        <w:t>rotein</w:t>
      </w:r>
      <w:r>
        <w:rPr>
          <w:lang w:bidi="ar-SA"/>
        </w:rPr>
        <w:t xml:space="preserve"> </w:t>
      </w:r>
      <w:r w:rsidR="003E5EB5">
        <w:rPr>
          <w:lang w:bidi="ar-SA"/>
        </w:rPr>
        <w:t>glutaminase</w:t>
      </w:r>
      <w:r w:rsidR="00CE426E">
        <w:rPr>
          <w:lang w:bidi="ar-SA"/>
        </w:rPr>
        <w:t xml:space="preserve"> from </w:t>
      </w:r>
      <w:r w:rsidR="00CE426E" w:rsidRPr="00CE426E">
        <w:rPr>
          <w:i/>
          <w:lang w:bidi="ar-SA"/>
        </w:rPr>
        <w:t>C. proteolyticum</w:t>
      </w:r>
      <w:r w:rsidR="00CE426E">
        <w:rPr>
          <w:lang w:bidi="ar-SA"/>
        </w:rPr>
        <w:t xml:space="preserve"> strain AE-PG</w:t>
      </w:r>
      <w:r w:rsidR="003E5EB5">
        <w:rPr>
          <w:lang w:bidi="ar-SA"/>
        </w:rPr>
        <w:t xml:space="preserve"> had </w:t>
      </w:r>
      <w:r w:rsidR="003E5EB5">
        <w:rPr>
          <w:lang w:eastAsia="en-AU" w:bidi="ar-SA"/>
        </w:rPr>
        <w:t>no mutagenic acti</w:t>
      </w:r>
      <w:r>
        <w:rPr>
          <w:lang w:eastAsia="en-AU" w:bidi="ar-SA"/>
        </w:rPr>
        <w:t>vity under the conditions of this</w:t>
      </w:r>
      <w:r w:rsidR="003E5EB5">
        <w:rPr>
          <w:lang w:eastAsia="en-AU" w:bidi="ar-SA"/>
        </w:rPr>
        <w:t xml:space="preserve"> study. </w:t>
      </w:r>
    </w:p>
    <w:p w14:paraId="0ADFE836" w14:textId="72BEA2A1" w:rsidR="00CE426E" w:rsidRDefault="00837333" w:rsidP="00506747">
      <w:pPr>
        <w:pStyle w:val="Heading5"/>
      </w:pPr>
      <w:r w:rsidRPr="006340A9">
        <w:t xml:space="preserve">Safety studies of protein-glutaminase produced by Chryseobacterium proteolyticum – chromosomal aberration test using Chinese hamster lung (CHK/IU) cells </w:t>
      </w:r>
      <w:r w:rsidR="00506747">
        <w:t>[</w:t>
      </w:r>
      <w:r w:rsidRPr="006340A9">
        <w:t>Yamakage (Study Director); Hatano Research Institute, Food and Drug Safety Center study number G-03-046 (2004)</w:t>
      </w:r>
      <w:r w:rsidR="00093237">
        <w:t>.</w:t>
      </w:r>
      <w:r w:rsidR="00506747">
        <w:t>]</w:t>
      </w:r>
      <w:r w:rsidRPr="006340A9">
        <w:t xml:space="preserve"> </w:t>
      </w:r>
    </w:p>
    <w:p w14:paraId="5DEA496C" w14:textId="077EBE18" w:rsidR="00CE426E" w:rsidRDefault="004803A0" w:rsidP="004803A0">
      <w:pPr>
        <w:rPr>
          <w:lang w:bidi="ar-SA"/>
        </w:rPr>
      </w:pPr>
      <w:r>
        <w:rPr>
          <w:lang w:bidi="ar-SA"/>
        </w:rPr>
        <w:t xml:space="preserve">The study was conducted in compliance with OECD Principles of </w:t>
      </w:r>
      <w:r w:rsidR="00A746D1">
        <w:rPr>
          <w:lang w:bidi="ar-SA"/>
        </w:rPr>
        <w:t xml:space="preserve">GLP </w:t>
      </w:r>
      <w:r>
        <w:rPr>
          <w:lang w:bidi="ar-SA"/>
        </w:rPr>
        <w:t xml:space="preserve">and in accordance with OECD TG 473, the </w:t>
      </w:r>
      <w:r w:rsidRPr="003960F9">
        <w:rPr>
          <w:i/>
          <w:lang w:bidi="ar-SA"/>
        </w:rPr>
        <w:t xml:space="preserve">In Vitro </w:t>
      </w:r>
      <w:r>
        <w:rPr>
          <w:lang w:bidi="ar-SA"/>
        </w:rPr>
        <w:t>Mammalian Chromosomal Aberration Test (July 1997). Relevant Japanese standards were also followed.</w:t>
      </w:r>
    </w:p>
    <w:p w14:paraId="46EFA9ED" w14:textId="07D6FE66" w:rsidR="00837333" w:rsidRDefault="004803A0" w:rsidP="004803A0">
      <w:pPr>
        <w:rPr>
          <w:lang w:bidi="ar-SA"/>
        </w:rPr>
      </w:pPr>
      <w:r>
        <w:rPr>
          <w:lang w:bidi="ar-SA"/>
        </w:rPr>
        <w:t xml:space="preserve"> </w:t>
      </w:r>
    </w:p>
    <w:p w14:paraId="7E837168" w14:textId="67C158AD" w:rsidR="0028771F" w:rsidRDefault="00234E62" w:rsidP="004803A0">
      <w:pPr>
        <w:rPr>
          <w:lang w:eastAsia="en-AU" w:bidi="ar-SA"/>
        </w:rPr>
      </w:pPr>
      <w:r>
        <w:rPr>
          <w:lang w:eastAsia="en-AU" w:bidi="ar-SA"/>
        </w:rPr>
        <w:t>Protein</w:t>
      </w:r>
      <w:r w:rsidR="00E06CE5">
        <w:rPr>
          <w:lang w:eastAsia="en-AU" w:bidi="ar-SA"/>
        </w:rPr>
        <w:t xml:space="preserve"> </w:t>
      </w:r>
      <w:r>
        <w:rPr>
          <w:lang w:eastAsia="en-AU" w:bidi="ar-SA"/>
        </w:rPr>
        <w:t xml:space="preserve">glutaminase produced by </w:t>
      </w:r>
      <w:r w:rsidR="00506747" w:rsidRPr="00234E62">
        <w:rPr>
          <w:i/>
          <w:lang w:eastAsia="en-AU" w:bidi="ar-SA"/>
        </w:rPr>
        <w:t>C</w:t>
      </w:r>
      <w:r w:rsidR="00506747">
        <w:rPr>
          <w:i/>
          <w:lang w:eastAsia="en-AU" w:bidi="ar-SA"/>
        </w:rPr>
        <w:t>.</w:t>
      </w:r>
      <w:r w:rsidR="00506747" w:rsidRPr="00234E62">
        <w:rPr>
          <w:i/>
          <w:lang w:eastAsia="en-AU" w:bidi="ar-SA"/>
        </w:rPr>
        <w:t xml:space="preserve"> </w:t>
      </w:r>
      <w:r w:rsidRPr="00234E62">
        <w:rPr>
          <w:i/>
          <w:lang w:eastAsia="en-AU" w:bidi="ar-SA"/>
        </w:rPr>
        <w:t>proteolyticum</w:t>
      </w:r>
      <w:r w:rsidR="00CE426E">
        <w:rPr>
          <w:i/>
          <w:lang w:eastAsia="en-AU" w:bidi="ar-SA"/>
        </w:rPr>
        <w:t xml:space="preserve"> </w:t>
      </w:r>
      <w:r w:rsidR="00CE426E" w:rsidRPr="007F6F35">
        <w:rPr>
          <w:lang w:eastAsia="en-AU" w:bidi="ar-SA"/>
        </w:rPr>
        <w:t>strain AE-PG</w:t>
      </w:r>
      <w:r w:rsidR="00057186">
        <w:rPr>
          <w:lang w:eastAsia="en-AU" w:bidi="ar-SA"/>
        </w:rPr>
        <w:t xml:space="preserve"> was examined for its </w:t>
      </w:r>
      <w:r w:rsidR="00057186">
        <w:rPr>
          <w:lang w:eastAsia="en-AU" w:bidi="ar-SA"/>
        </w:rPr>
        <w:lastRenderedPageBreak/>
        <w:t>potential to induce structural chromosome aberrations in both the absence and presence of S9 fraction</w:t>
      </w:r>
      <w:r w:rsidR="0028771F">
        <w:rPr>
          <w:lang w:eastAsia="en-AU" w:bidi="ar-SA"/>
        </w:rPr>
        <w:t>, using Chinese hamster lung (CHL/IU) cells</w:t>
      </w:r>
      <w:r w:rsidR="00057186">
        <w:rPr>
          <w:lang w:eastAsia="en-AU" w:bidi="ar-SA"/>
        </w:rPr>
        <w:t>. The solvent and negative control was Na, K-Phosphate buffer (20 mmol/L, pH 70.). The positive control substances were mitomycin C in the absence of S9 fraction and cyclophosphamide in the presence of S9. Both a short-term treatment assay and a continuous exposure assay were conducted. The continuous exposure assay was conducted only in the absence of metabolic activation. The exposure period in the short-term treatment assay was 6 hours, and cells were harvested 18 hours following removal of the test article.</w:t>
      </w:r>
      <w:r w:rsidR="0028771F">
        <w:rPr>
          <w:lang w:eastAsia="en-AU" w:bidi="ar-SA"/>
        </w:rPr>
        <w:t xml:space="preserve"> The continuous exposure period was 24 hours. </w:t>
      </w:r>
      <w:r w:rsidR="00057186">
        <w:rPr>
          <w:lang w:eastAsia="en-AU" w:bidi="ar-SA"/>
        </w:rPr>
        <w:t>Colcemid</w:t>
      </w:r>
      <w:r w:rsidR="007D3C8D">
        <w:rPr>
          <w:rFonts w:cs="Arial"/>
          <w:lang w:eastAsia="en-AU" w:bidi="ar-SA"/>
        </w:rPr>
        <w:t>®</w:t>
      </w:r>
      <w:r w:rsidR="00057186">
        <w:rPr>
          <w:lang w:eastAsia="en-AU" w:bidi="ar-SA"/>
        </w:rPr>
        <w:t xml:space="preserve"> was added approximately 2 hours before the end of the culture period. All assays were conducted in duplicate.</w:t>
      </w:r>
    </w:p>
    <w:p w14:paraId="7487CF19" w14:textId="77777777" w:rsidR="0028771F" w:rsidRDefault="0028771F" w:rsidP="004803A0">
      <w:pPr>
        <w:rPr>
          <w:lang w:eastAsia="en-AU" w:bidi="ar-SA"/>
        </w:rPr>
      </w:pPr>
    </w:p>
    <w:p w14:paraId="67613A0A" w14:textId="2083373C" w:rsidR="004803A0" w:rsidRDefault="00057186" w:rsidP="004803A0">
      <w:pPr>
        <w:rPr>
          <w:lang w:eastAsia="en-AU" w:bidi="ar-SA"/>
        </w:rPr>
      </w:pPr>
      <w:r>
        <w:rPr>
          <w:lang w:eastAsia="en-AU" w:bidi="ar-SA"/>
        </w:rPr>
        <w:t xml:space="preserve">Based on the results of </w:t>
      </w:r>
      <w:r w:rsidR="00F3542C">
        <w:rPr>
          <w:lang w:eastAsia="en-AU" w:bidi="ar-SA"/>
        </w:rPr>
        <w:t xml:space="preserve">a growth inhibition test 10 dose levels were selected for </w:t>
      </w:r>
      <w:r w:rsidR="00234E62">
        <w:rPr>
          <w:lang w:eastAsia="en-AU" w:bidi="ar-SA"/>
        </w:rPr>
        <w:t xml:space="preserve">each of </w:t>
      </w:r>
      <w:r w:rsidR="00F3542C">
        <w:rPr>
          <w:lang w:eastAsia="en-AU" w:bidi="ar-SA"/>
        </w:rPr>
        <w:t>the cytogenetic test</w:t>
      </w:r>
      <w:r w:rsidR="00234E62">
        <w:rPr>
          <w:lang w:eastAsia="en-AU" w:bidi="ar-SA"/>
        </w:rPr>
        <w:t>s</w:t>
      </w:r>
      <w:r w:rsidR="00F3542C">
        <w:rPr>
          <w:lang w:eastAsia="en-AU" w:bidi="ar-SA"/>
        </w:rPr>
        <w:t xml:space="preserve">. </w:t>
      </w:r>
      <w:r w:rsidR="00234E62">
        <w:rPr>
          <w:lang w:eastAsia="en-AU" w:bidi="ar-SA"/>
        </w:rPr>
        <w:t>From these,</w:t>
      </w:r>
      <w:r w:rsidR="00976FE0">
        <w:rPr>
          <w:lang w:eastAsia="en-AU" w:bidi="ar-SA"/>
        </w:rPr>
        <w:t xml:space="preserve"> three doses were selected for chromosome analysis based on an assessment of cell growth</w:t>
      </w:r>
      <w:r w:rsidR="00234E62">
        <w:rPr>
          <w:lang w:eastAsia="en-AU" w:bidi="ar-SA"/>
        </w:rPr>
        <w:t xml:space="preserve"> inhibition</w:t>
      </w:r>
      <w:r w:rsidR="00976FE0">
        <w:rPr>
          <w:lang w:eastAsia="en-AU" w:bidi="ar-SA"/>
        </w:rPr>
        <w:t xml:space="preserve"> and mitotic index. These were 213, 425 and 675 </w:t>
      </w:r>
      <w:r w:rsidR="00976FE0">
        <w:rPr>
          <w:rFonts w:cs="Arial"/>
          <w:lang w:eastAsia="en-AU" w:bidi="ar-SA"/>
        </w:rPr>
        <w:t>µ</w:t>
      </w:r>
      <w:r w:rsidR="00976FE0">
        <w:rPr>
          <w:lang w:eastAsia="en-AU" w:bidi="ar-SA"/>
        </w:rPr>
        <w:t xml:space="preserve">g/ml </w:t>
      </w:r>
      <w:r w:rsidR="003960F9">
        <w:rPr>
          <w:lang w:eastAsia="en-AU" w:bidi="ar-SA"/>
        </w:rPr>
        <w:t>for the short-</w:t>
      </w:r>
      <w:r w:rsidR="00976FE0">
        <w:rPr>
          <w:lang w:eastAsia="en-AU" w:bidi="ar-SA"/>
        </w:rPr>
        <w:t xml:space="preserve">term treatment without S9; 106, 213 and 425 </w:t>
      </w:r>
      <w:r w:rsidR="00976FE0">
        <w:rPr>
          <w:rFonts w:cs="Arial"/>
          <w:lang w:eastAsia="en-AU" w:bidi="ar-SA"/>
        </w:rPr>
        <w:t>µ</w:t>
      </w:r>
      <w:r w:rsidR="00976FE0">
        <w:rPr>
          <w:lang w:eastAsia="en-AU" w:bidi="ar-SA"/>
        </w:rPr>
        <w:t>g/m</w:t>
      </w:r>
      <w:r w:rsidR="00455750">
        <w:rPr>
          <w:lang w:eastAsia="en-AU" w:bidi="ar-SA"/>
        </w:rPr>
        <w:t>L</w:t>
      </w:r>
      <w:r w:rsidR="003960F9">
        <w:rPr>
          <w:lang w:eastAsia="en-AU" w:bidi="ar-SA"/>
        </w:rPr>
        <w:t xml:space="preserve"> for the short-</w:t>
      </w:r>
      <w:r w:rsidR="00976FE0">
        <w:rPr>
          <w:lang w:eastAsia="en-AU" w:bidi="ar-SA"/>
        </w:rPr>
        <w:t xml:space="preserve">term treatment with S9; and 63, 125 and 250 </w:t>
      </w:r>
      <w:r w:rsidR="00976FE0">
        <w:rPr>
          <w:rFonts w:cs="Arial"/>
          <w:lang w:eastAsia="en-AU" w:bidi="ar-SA"/>
        </w:rPr>
        <w:t>µ</w:t>
      </w:r>
      <w:r w:rsidR="00976FE0">
        <w:rPr>
          <w:lang w:eastAsia="en-AU" w:bidi="ar-SA"/>
        </w:rPr>
        <w:t>g/m</w:t>
      </w:r>
      <w:r w:rsidR="00455750">
        <w:rPr>
          <w:lang w:eastAsia="en-AU" w:bidi="ar-SA"/>
        </w:rPr>
        <w:t>L</w:t>
      </w:r>
      <w:r w:rsidR="00976FE0">
        <w:rPr>
          <w:lang w:eastAsia="en-AU" w:bidi="ar-SA"/>
        </w:rPr>
        <w:t xml:space="preserve"> for the continuous treatment. </w:t>
      </w:r>
      <w:r w:rsidR="00234E62">
        <w:rPr>
          <w:lang w:eastAsia="en-AU" w:bidi="ar-SA"/>
        </w:rPr>
        <w:t xml:space="preserve">Clastogenicity was judged to be positive or negative based on statistical and biological significance. </w:t>
      </w:r>
    </w:p>
    <w:p w14:paraId="6EF2BF89" w14:textId="3AA73AB6" w:rsidR="00234E62" w:rsidRDefault="00234E62" w:rsidP="004803A0">
      <w:pPr>
        <w:rPr>
          <w:lang w:eastAsia="en-AU" w:bidi="ar-SA"/>
        </w:rPr>
      </w:pPr>
    </w:p>
    <w:p w14:paraId="3C843601" w14:textId="497FF509" w:rsidR="00234E62" w:rsidRDefault="00234E62" w:rsidP="004803A0">
      <w:pPr>
        <w:rPr>
          <w:lang w:eastAsia="en-AU" w:bidi="ar-SA"/>
        </w:rPr>
      </w:pPr>
      <w:r>
        <w:rPr>
          <w:lang w:eastAsia="en-AU" w:bidi="ar-SA"/>
        </w:rPr>
        <w:t xml:space="preserve">No statistically significant increases in the number of cells with structural chromosomal aberrations or polyploid cells </w:t>
      </w:r>
      <w:r w:rsidR="00325168">
        <w:rPr>
          <w:lang w:eastAsia="en-AU" w:bidi="ar-SA"/>
        </w:rPr>
        <w:t>were</w:t>
      </w:r>
      <w:r>
        <w:rPr>
          <w:lang w:eastAsia="en-AU" w:bidi="ar-SA"/>
        </w:rPr>
        <w:t xml:space="preserve"> </w:t>
      </w:r>
      <w:r w:rsidR="00E06CE5">
        <w:rPr>
          <w:lang w:eastAsia="en-AU" w:bidi="ar-SA"/>
        </w:rPr>
        <w:t xml:space="preserve">observed at any dose of protein </w:t>
      </w:r>
      <w:r>
        <w:rPr>
          <w:lang w:eastAsia="en-AU" w:bidi="ar-SA"/>
        </w:rPr>
        <w:t>glutaminase in the short</w:t>
      </w:r>
      <w:r w:rsidR="003960F9">
        <w:rPr>
          <w:lang w:eastAsia="en-AU" w:bidi="ar-SA"/>
        </w:rPr>
        <w:t>-</w:t>
      </w:r>
      <w:r>
        <w:rPr>
          <w:lang w:eastAsia="en-AU" w:bidi="ar-SA"/>
        </w:rPr>
        <w:t xml:space="preserve">term treatment groups with or without metabolic activation, or in the </w:t>
      </w:r>
      <w:r w:rsidR="00FE0900">
        <w:rPr>
          <w:lang w:eastAsia="en-AU" w:bidi="ar-SA"/>
        </w:rPr>
        <w:t>24-hour</w:t>
      </w:r>
      <w:r>
        <w:rPr>
          <w:lang w:eastAsia="en-AU" w:bidi="ar-SA"/>
        </w:rPr>
        <w:t xml:space="preserve"> continuous treatment group. </w:t>
      </w:r>
      <w:r w:rsidR="00076BE0">
        <w:rPr>
          <w:lang w:eastAsia="en-AU" w:bidi="ar-SA"/>
        </w:rPr>
        <w:t>The positive controls significantly induced structural chromosomal aberrations</w:t>
      </w:r>
      <w:r w:rsidR="00F729E9">
        <w:rPr>
          <w:lang w:eastAsia="en-AU" w:bidi="ar-SA"/>
        </w:rPr>
        <w:t>, confirming the validity of the test system for detection of clastogens</w:t>
      </w:r>
      <w:r w:rsidR="00076BE0">
        <w:rPr>
          <w:lang w:eastAsia="en-AU" w:bidi="ar-SA"/>
        </w:rPr>
        <w:t xml:space="preserve">. </w:t>
      </w:r>
    </w:p>
    <w:p w14:paraId="6C7492BB" w14:textId="7FC78137" w:rsidR="00234E62" w:rsidRDefault="00234E62" w:rsidP="004803A0">
      <w:pPr>
        <w:rPr>
          <w:lang w:eastAsia="en-AU" w:bidi="ar-SA"/>
        </w:rPr>
      </w:pPr>
    </w:p>
    <w:p w14:paraId="3C6805D1" w14:textId="26A1EE79" w:rsidR="00076BE0" w:rsidRDefault="00E06CE5" w:rsidP="00076BE0">
      <w:pPr>
        <w:rPr>
          <w:lang w:eastAsia="en-AU" w:bidi="ar-SA"/>
        </w:rPr>
      </w:pPr>
      <w:r>
        <w:rPr>
          <w:lang w:eastAsia="en-AU" w:bidi="ar-SA"/>
        </w:rPr>
        <w:t>Protein glutaminase</w:t>
      </w:r>
      <w:r w:rsidR="007F6F35">
        <w:rPr>
          <w:lang w:eastAsia="en-AU" w:bidi="ar-SA"/>
        </w:rPr>
        <w:t xml:space="preserve"> </w:t>
      </w:r>
      <w:r w:rsidR="007F6F35">
        <w:rPr>
          <w:lang w:bidi="ar-SA"/>
        </w:rPr>
        <w:t xml:space="preserve">from </w:t>
      </w:r>
      <w:r w:rsidR="007F6F35" w:rsidRPr="00CE426E">
        <w:rPr>
          <w:i/>
          <w:lang w:bidi="ar-SA"/>
        </w:rPr>
        <w:t>C. proteolyticum</w:t>
      </w:r>
      <w:r w:rsidR="007F6F35">
        <w:rPr>
          <w:lang w:bidi="ar-SA"/>
        </w:rPr>
        <w:t xml:space="preserve"> strain AE-PG</w:t>
      </w:r>
      <w:r w:rsidR="00076BE0">
        <w:rPr>
          <w:lang w:eastAsia="en-AU" w:bidi="ar-SA"/>
        </w:rPr>
        <w:t xml:space="preserve"> did not induce structural chromosome aberrations or polyploid cells under the conditions of this study. </w:t>
      </w:r>
    </w:p>
    <w:p w14:paraId="4F859A07" w14:textId="6503C9F2" w:rsidR="00F729E9" w:rsidRPr="00FD462C" w:rsidRDefault="00E06CE5" w:rsidP="00506747">
      <w:pPr>
        <w:pStyle w:val="Heading3"/>
      </w:pPr>
      <w:bookmarkStart w:id="73" w:name="_Toc485893689"/>
      <w:bookmarkStart w:id="74" w:name="_Toc492456035"/>
      <w:r>
        <w:t>3.4</w:t>
      </w:r>
      <w:r w:rsidR="00937544" w:rsidRPr="00FD462C">
        <w:t xml:space="preserve"> </w:t>
      </w:r>
      <w:r w:rsidR="00B363B9">
        <w:tab/>
      </w:r>
      <w:r w:rsidR="00937544" w:rsidRPr="00FD462C">
        <w:t>Animal studies</w:t>
      </w:r>
      <w:bookmarkEnd w:id="73"/>
      <w:bookmarkEnd w:id="74"/>
    </w:p>
    <w:p w14:paraId="609F7FAE" w14:textId="4A3D8EBD" w:rsidR="006340A9" w:rsidRPr="00526EF2" w:rsidRDefault="00093237" w:rsidP="00506747">
      <w:r w:rsidRPr="00506747">
        <w:rPr>
          <w:b/>
          <w:i/>
          <w:lang w:eastAsia="en-AU" w:bidi="ar-SA"/>
        </w:rPr>
        <w:t xml:space="preserve">A </w:t>
      </w:r>
      <w:r w:rsidR="006340A9" w:rsidRPr="00506747">
        <w:rPr>
          <w:b/>
          <w:i/>
          <w:lang w:eastAsia="en-AU" w:bidi="ar-SA"/>
        </w:rPr>
        <w:t xml:space="preserve">13-week oral toxicity study </w:t>
      </w:r>
    </w:p>
    <w:p w14:paraId="2C725510" w14:textId="19879DEB" w:rsidR="007F6F35" w:rsidRDefault="00E826AF" w:rsidP="009579BF">
      <w:pPr>
        <w:pStyle w:val="Heading5"/>
        <w:rPr>
          <w:lang w:eastAsia="en-AU"/>
        </w:rPr>
      </w:pPr>
      <w:r w:rsidRPr="006340A9">
        <w:rPr>
          <w:lang w:eastAsia="en-AU"/>
        </w:rPr>
        <w:t xml:space="preserve">13-week oral toxicity study of protein-glutaminase in rats </w:t>
      </w:r>
      <w:r w:rsidR="00B813CF">
        <w:rPr>
          <w:lang w:eastAsia="en-AU"/>
        </w:rPr>
        <w:t>[</w:t>
      </w:r>
      <w:r w:rsidRPr="006340A9">
        <w:rPr>
          <w:lang w:eastAsia="en-AU"/>
        </w:rPr>
        <w:t>Yamaguchi (Study Director); Bozo Research Center study number B-5339 (2005)</w:t>
      </w:r>
      <w:r w:rsidR="00B813CF">
        <w:rPr>
          <w:lang w:eastAsia="en-AU"/>
        </w:rPr>
        <w:t>]</w:t>
      </w:r>
      <w:r w:rsidR="006340A9">
        <w:rPr>
          <w:lang w:eastAsia="en-AU"/>
        </w:rPr>
        <w:t xml:space="preserve"> </w:t>
      </w:r>
    </w:p>
    <w:p w14:paraId="6004BA65" w14:textId="77777777" w:rsidR="007F6F35" w:rsidRDefault="00A746D1" w:rsidP="00076BE0">
      <w:pPr>
        <w:rPr>
          <w:lang w:eastAsia="en-AU" w:bidi="ar-SA"/>
        </w:rPr>
      </w:pPr>
      <w:r w:rsidRPr="006340A9">
        <w:rPr>
          <w:lang w:eastAsia="en-AU"/>
        </w:rPr>
        <w:t xml:space="preserve">The study was conducted in compliance with relevant Japanese guidelines on GLP, toxicity studies and animal welfare. </w:t>
      </w:r>
      <w:r w:rsidR="00745161">
        <w:rPr>
          <w:lang w:eastAsia="en-AU" w:bidi="ar-SA"/>
        </w:rPr>
        <w:t>The test item was protein</w:t>
      </w:r>
      <w:r w:rsidR="00E06CE5">
        <w:rPr>
          <w:lang w:eastAsia="en-AU" w:bidi="ar-SA"/>
        </w:rPr>
        <w:t xml:space="preserve"> </w:t>
      </w:r>
      <w:r w:rsidR="00745161">
        <w:rPr>
          <w:lang w:eastAsia="en-AU" w:bidi="ar-SA"/>
        </w:rPr>
        <w:t xml:space="preserve">glutaminase from </w:t>
      </w:r>
      <w:r w:rsidR="00745161" w:rsidRPr="009F67A1">
        <w:rPr>
          <w:i/>
          <w:lang w:eastAsia="en-AU" w:bidi="ar-SA"/>
        </w:rPr>
        <w:t>C. proteolyticum</w:t>
      </w:r>
      <w:r w:rsidR="00745161">
        <w:rPr>
          <w:lang w:eastAsia="en-AU" w:bidi="ar-SA"/>
        </w:rPr>
        <w:t xml:space="preserve"> </w:t>
      </w:r>
      <w:r w:rsidR="007F6F35">
        <w:rPr>
          <w:lang w:eastAsia="en-AU" w:bidi="ar-SA"/>
        </w:rPr>
        <w:t xml:space="preserve"> </w:t>
      </w:r>
      <w:r w:rsidR="007F6F35">
        <w:rPr>
          <w:lang w:bidi="ar-SA"/>
        </w:rPr>
        <w:t>strain AE-PG</w:t>
      </w:r>
      <w:r w:rsidR="007F6F35">
        <w:rPr>
          <w:lang w:eastAsia="en-AU" w:bidi="ar-SA"/>
        </w:rPr>
        <w:t xml:space="preserve"> </w:t>
      </w:r>
      <w:r w:rsidR="00745161">
        <w:rPr>
          <w:lang w:eastAsia="en-AU" w:bidi="ar-SA"/>
        </w:rPr>
        <w:t>with an enzyme activity of 549 U/ml. The test vehicle and negative control was water. Protein</w:t>
      </w:r>
      <w:r w:rsidR="00E06CE5">
        <w:rPr>
          <w:lang w:eastAsia="en-AU" w:bidi="ar-SA"/>
        </w:rPr>
        <w:t xml:space="preserve"> </w:t>
      </w:r>
      <w:r w:rsidR="00745161">
        <w:rPr>
          <w:lang w:eastAsia="en-AU" w:bidi="ar-SA"/>
        </w:rPr>
        <w:t xml:space="preserve">glutaminase was administered by oral gavage to Sprague-Dawley rats (Crj:CD(SD)IGS, 6 weeks of age, 12/sex/group) daily for 13 weeks. </w:t>
      </w:r>
      <w:r w:rsidR="00FA3AA0">
        <w:rPr>
          <w:lang w:eastAsia="en-AU" w:bidi="ar-SA"/>
        </w:rPr>
        <w:t xml:space="preserve">Rats were acclimated to the test facility environment for 7 days prior to the start of treatment, and animals were housed individually under standard laboratory conditions with free access to food and water. </w:t>
      </w:r>
    </w:p>
    <w:p w14:paraId="44F734ED" w14:textId="77777777" w:rsidR="007F6F35" w:rsidRDefault="007F6F35" w:rsidP="00076BE0">
      <w:pPr>
        <w:rPr>
          <w:lang w:eastAsia="en-AU" w:bidi="ar-SA"/>
        </w:rPr>
      </w:pPr>
    </w:p>
    <w:p w14:paraId="024A30FB" w14:textId="306C4747" w:rsidR="00745161" w:rsidRDefault="007A1055" w:rsidP="00076BE0">
      <w:pPr>
        <w:rPr>
          <w:lang w:eastAsia="en-AU" w:bidi="ar-SA"/>
        </w:rPr>
      </w:pPr>
      <w:r>
        <w:rPr>
          <w:lang w:eastAsia="en-AU" w:bidi="ar-SA"/>
        </w:rPr>
        <w:t>Dose levels were selected based on results of a previous 2-week</w:t>
      </w:r>
      <w:r w:rsidR="00E06CE5">
        <w:rPr>
          <w:lang w:eastAsia="en-AU" w:bidi="ar-SA"/>
        </w:rPr>
        <w:t xml:space="preserve"> oral toxicity study of protein </w:t>
      </w:r>
      <w:r>
        <w:rPr>
          <w:lang w:eastAsia="en-AU" w:bidi="ar-SA"/>
        </w:rPr>
        <w:t>glutaminase in rats. Doses used in the main study were 63.5, 1269 and 2538 mg/kg bw/day</w:t>
      </w:r>
      <w:r w:rsidR="009F67A1">
        <w:rPr>
          <w:lang w:eastAsia="en-AU" w:bidi="ar-SA"/>
        </w:rPr>
        <w:t xml:space="preserve">, administered in dose volumes of 10 </w:t>
      </w:r>
      <w:r w:rsidR="009B0498">
        <w:rPr>
          <w:lang w:eastAsia="en-AU" w:bidi="ar-SA"/>
        </w:rPr>
        <w:t>mL</w:t>
      </w:r>
      <w:r w:rsidR="009F67A1">
        <w:rPr>
          <w:lang w:eastAsia="en-AU" w:bidi="ar-SA"/>
        </w:rPr>
        <w:t>/kg bw</w:t>
      </w:r>
      <w:r>
        <w:rPr>
          <w:lang w:eastAsia="en-AU" w:bidi="ar-SA"/>
        </w:rPr>
        <w:t xml:space="preserve">. </w:t>
      </w:r>
    </w:p>
    <w:p w14:paraId="7F7553C9" w14:textId="32DF0819" w:rsidR="007A1055" w:rsidRDefault="007A1055" w:rsidP="00076BE0">
      <w:pPr>
        <w:rPr>
          <w:lang w:eastAsia="en-AU" w:bidi="ar-SA"/>
        </w:rPr>
      </w:pPr>
    </w:p>
    <w:p w14:paraId="6C596904" w14:textId="5A0E9EBD" w:rsidR="007A1055" w:rsidRDefault="007A1055" w:rsidP="007A1055">
      <w:pPr>
        <w:rPr>
          <w:lang w:eastAsia="en-AU" w:bidi="ar-SA"/>
        </w:rPr>
      </w:pPr>
      <w:r>
        <w:rPr>
          <w:lang w:eastAsia="en-AU" w:bidi="ar-SA"/>
        </w:rPr>
        <w:t>Survival, clinical signs, body weight and food consumption were assessed throughout the course of the study, and an ophthalmological examination was performed before the start of the administration period and again in Week 13 of administration. Urine samples were collected in Weeks 5 and 13 and blood samples collected at scheduled necropsy. Animals were killed by exsanguination under anaesthesia</w:t>
      </w:r>
      <w:r w:rsidR="005B37D7">
        <w:rPr>
          <w:lang w:eastAsia="en-AU" w:bidi="ar-SA"/>
        </w:rPr>
        <w:t xml:space="preserve"> on the day after the last administration of the test substance</w:t>
      </w:r>
      <w:r>
        <w:rPr>
          <w:lang w:eastAsia="en-AU" w:bidi="ar-SA"/>
        </w:rPr>
        <w:t xml:space="preserve">. </w:t>
      </w:r>
      <w:r w:rsidR="00683F93">
        <w:rPr>
          <w:lang w:eastAsia="en-AU" w:bidi="ar-SA"/>
        </w:rPr>
        <w:t>G</w:t>
      </w:r>
      <w:r>
        <w:rPr>
          <w:lang w:eastAsia="en-AU" w:bidi="ar-SA"/>
        </w:rPr>
        <w:t>ross necropsy was conducted on all rats, organ weights were determined and tissues were preserved and processed for histopathological examination.</w:t>
      </w:r>
    </w:p>
    <w:p w14:paraId="1AA237D6" w14:textId="16805E9D" w:rsidR="00CF705A" w:rsidRDefault="00CF705A" w:rsidP="007A1055">
      <w:pPr>
        <w:rPr>
          <w:lang w:eastAsia="en-AU" w:bidi="ar-SA"/>
        </w:rPr>
      </w:pPr>
    </w:p>
    <w:p w14:paraId="3D7D0239" w14:textId="084887F0" w:rsidR="003B0E3C" w:rsidRDefault="0050409A" w:rsidP="007A1055">
      <w:pPr>
        <w:rPr>
          <w:lang w:eastAsia="en-AU" w:bidi="ar-SA"/>
        </w:rPr>
      </w:pPr>
      <w:r>
        <w:rPr>
          <w:lang w:eastAsia="en-AU" w:bidi="ar-SA"/>
        </w:rPr>
        <w:t xml:space="preserve">There were no mortalities over the course of the study and no clinical signs of toxicity were </w:t>
      </w:r>
      <w:r>
        <w:rPr>
          <w:lang w:eastAsia="en-AU" w:bidi="ar-SA"/>
        </w:rPr>
        <w:lastRenderedPageBreak/>
        <w:t xml:space="preserve">observed. Body weight, body weight gain and food consumption in the treated groups were similar to controls. No </w:t>
      </w:r>
      <w:r w:rsidR="001C1FA0">
        <w:rPr>
          <w:lang w:eastAsia="en-AU" w:bidi="ar-SA"/>
        </w:rPr>
        <w:t xml:space="preserve">treatment-related adverse effects were observed in ophthalmological examination, </w:t>
      </w:r>
      <w:r w:rsidR="006B3B77">
        <w:rPr>
          <w:lang w:eastAsia="en-AU" w:bidi="ar-SA"/>
        </w:rPr>
        <w:t>organ weight,</w:t>
      </w:r>
      <w:r w:rsidR="009C0E4F">
        <w:rPr>
          <w:lang w:eastAsia="en-AU" w:bidi="ar-SA"/>
        </w:rPr>
        <w:t xml:space="preserve"> urinalysis, blood chemistry,</w:t>
      </w:r>
      <w:r w:rsidR="006B3B77">
        <w:rPr>
          <w:lang w:eastAsia="en-AU" w:bidi="ar-SA"/>
        </w:rPr>
        <w:t xml:space="preserve"> necropsy and histopathological examination</w:t>
      </w:r>
      <w:r>
        <w:rPr>
          <w:lang w:eastAsia="en-AU" w:bidi="ar-SA"/>
        </w:rPr>
        <w:t xml:space="preserve">. </w:t>
      </w:r>
      <w:r w:rsidR="00512F83">
        <w:rPr>
          <w:lang w:eastAsia="en-AU" w:bidi="ar-SA"/>
        </w:rPr>
        <w:t>Haematological examination found a</w:t>
      </w:r>
      <w:r w:rsidR="003B0E3C">
        <w:rPr>
          <w:lang w:eastAsia="en-AU" w:bidi="ar-SA"/>
        </w:rPr>
        <w:t xml:space="preserve"> </w:t>
      </w:r>
      <w:r w:rsidR="005966A6">
        <w:rPr>
          <w:lang w:eastAsia="en-AU" w:bidi="ar-SA"/>
        </w:rPr>
        <w:t xml:space="preserve">statistically significant </w:t>
      </w:r>
      <w:r w:rsidR="003B0E3C">
        <w:rPr>
          <w:lang w:eastAsia="en-AU" w:bidi="ar-SA"/>
        </w:rPr>
        <w:t>prolongation of prothrombin</w:t>
      </w:r>
      <w:r w:rsidR="005966A6">
        <w:rPr>
          <w:lang w:eastAsia="en-AU" w:bidi="ar-SA"/>
        </w:rPr>
        <w:t xml:space="preserve"> time in </w:t>
      </w:r>
      <w:r w:rsidR="00E87241">
        <w:rPr>
          <w:lang w:eastAsia="en-AU" w:bidi="ar-SA"/>
        </w:rPr>
        <w:t xml:space="preserve">high dose </w:t>
      </w:r>
      <w:r w:rsidR="005966A6">
        <w:rPr>
          <w:lang w:eastAsia="en-AU" w:bidi="ar-SA"/>
        </w:rPr>
        <w:t xml:space="preserve">females, and significant reductions in fibrinogen in animals of both sexes in the high dose group compared with controls. </w:t>
      </w:r>
      <w:r w:rsidR="006775A7">
        <w:rPr>
          <w:lang w:eastAsia="en-AU" w:bidi="ar-SA"/>
        </w:rPr>
        <w:t xml:space="preserve">However, these findings were not considered to be adverse in the absence of other accompanying changes in haematology parameters or </w:t>
      </w:r>
      <w:r w:rsidR="005505DC">
        <w:rPr>
          <w:lang w:eastAsia="en-AU" w:bidi="ar-SA"/>
        </w:rPr>
        <w:t>histopathological findings</w:t>
      </w:r>
      <w:r w:rsidR="006775A7">
        <w:rPr>
          <w:lang w:eastAsia="en-AU" w:bidi="ar-SA"/>
        </w:rPr>
        <w:t xml:space="preserve">. </w:t>
      </w:r>
    </w:p>
    <w:p w14:paraId="5C80A35F" w14:textId="77777777" w:rsidR="00465CA7" w:rsidRDefault="00465CA7" w:rsidP="007A1055">
      <w:pPr>
        <w:rPr>
          <w:lang w:eastAsia="en-AU" w:bidi="ar-SA"/>
        </w:rPr>
      </w:pPr>
    </w:p>
    <w:p w14:paraId="63CFF8FE" w14:textId="5FFD5F53" w:rsidR="00937544" w:rsidRDefault="00BC29E0" w:rsidP="00937544">
      <w:pPr>
        <w:rPr>
          <w:lang w:eastAsia="en-AU" w:bidi="ar-SA"/>
        </w:rPr>
      </w:pPr>
      <w:r>
        <w:rPr>
          <w:lang w:eastAsia="en-AU" w:bidi="ar-SA"/>
        </w:rPr>
        <w:t xml:space="preserve">The no observed adverse effect level (NOAEL) in this study was 2538 mg/kg bw/day, the highest dose tested. </w:t>
      </w:r>
      <w:r w:rsidR="00121721">
        <w:rPr>
          <w:lang w:eastAsia="en-AU" w:bidi="ar-SA"/>
        </w:rPr>
        <w:t xml:space="preserve">This equates to a total organic solids (TOS) content of 92.8 mg TOS/kg bw/day, based on a TOS content of the test substance of 0.928%, and administration of 10 mL/kg bw/day of the undiluted test substance at the highest dose. </w:t>
      </w:r>
    </w:p>
    <w:p w14:paraId="72813C47" w14:textId="216D845F" w:rsidR="00937544" w:rsidRPr="00FD462C" w:rsidRDefault="00A206A6" w:rsidP="00C329D9">
      <w:pPr>
        <w:pStyle w:val="Heading3"/>
      </w:pPr>
      <w:bookmarkStart w:id="75" w:name="_Toc485893690"/>
      <w:bookmarkStart w:id="76" w:name="_Toc492456036"/>
      <w:r>
        <w:t>3.5</w:t>
      </w:r>
      <w:r w:rsidR="00997A5C">
        <w:tab/>
      </w:r>
      <w:r w:rsidR="00937544" w:rsidRPr="00FD462C">
        <w:t>Bioinformatic analysis for potential allergenicity</w:t>
      </w:r>
      <w:bookmarkEnd w:id="75"/>
      <w:bookmarkEnd w:id="76"/>
    </w:p>
    <w:p w14:paraId="68B3BBDA" w14:textId="6EF97741" w:rsidR="00441A23" w:rsidRDefault="00441A23" w:rsidP="00441A23">
      <w:pPr>
        <w:rPr>
          <w:lang w:eastAsia="en-AU" w:bidi="ar-SA"/>
        </w:rPr>
      </w:pPr>
      <w:r>
        <w:rPr>
          <w:lang w:eastAsia="en-AU" w:bidi="ar-SA"/>
        </w:rPr>
        <w:t xml:space="preserve">An </w:t>
      </w:r>
      <w:r w:rsidRPr="006C4368">
        <w:rPr>
          <w:i/>
          <w:lang w:eastAsia="en-AU" w:bidi="ar-SA"/>
        </w:rPr>
        <w:t>in silico</w:t>
      </w:r>
      <w:r>
        <w:rPr>
          <w:lang w:eastAsia="en-AU" w:bidi="ar-SA"/>
        </w:rPr>
        <w:t xml:space="preserve"> analysis was used to compare the amin</w:t>
      </w:r>
      <w:r w:rsidR="00A17B41">
        <w:rPr>
          <w:lang w:eastAsia="en-AU" w:bidi="ar-SA"/>
        </w:rPr>
        <w:t xml:space="preserve">o acid sequence of protein </w:t>
      </w:r>
      <w:r>
        <w:rPr>
          <w:lang w:eastAsia="en-AU" w:bidi="ar-SA"/>
        </w:rPr>
        <w:t xml:space="preserve">glutaminase </w:t>
      </w:r>
      <w:r w:rsidR="00E17ACC">
        <w:rPr>
          <w:lang w:bidi="ar-SA"/>
        </w:rPr>
        <w:t xml:space="preserve">from </w:t>
      </w:r>
      <w:r w:rsidR="00E17ACC" w:rsidRPr="00CE426E">
        <w:rPr>
          <w:i/>
          <w:lang w:bidi="ar-SA"/>
        </w:rPr>
        <w:t>C. proteolyticum</w:t>
      </w:r>
      <w:r w:rsidR="00E17ACC">
        <w:rPr>
          <w:lang w:bidi="ar-SA"/>
        </w:rPr>
        <w:t xml:space="preserve"> strain AE-PG</w:t>
      </w:r>
      <w:r>
        <w:rPr>
          <w:lang w:eastAsia="en-AU" w:bidi="ar-SA"/>
        </w:rPr>
        <w:t xml:space="preserve"> with that of known allergens using the </w:t>
      </w:r>
      <w:hyperlink r:id="rId22" w:history="1">
        <w:r w:rsidRPr="005955A0">
          <w:rPr>
            <w:rStyle w:val="Hyperlink"/>
            <w:lang w:eastAsia="en-AU" w:bidi="ar-SA"/>
          </w:rPr>
          <w:t>Allergen Database for Food Safety</w:t>
        </w:r>
      </w:hyperlink>
      <w:r>
        <w:rPr>
          <w:lang w:eastAsia="en-AU" w:bidi="ar-SA"/>
        </w:rPr>
        <w:t xml:space="preserve">. Searches were conducted to investigate whether there are matches for: </w:t>
      </w:r>
    </w:p>
    <w:p w14:paraId="523A959B" w14:textId="77777777" w:rsidR="00441A23" w:rsidRPr="008147B1" w:rsidRDefault="00441A23" w:rsidP="00FD462C">
      <w:pPr>
        <w:pStyle w:val="FSBullet"/>
        <w:numPr>
          <w:ilvl w:val="0"/>
          <w:numId w:val="1"/>
        </w:numPr>
        <w:ind w:left="567" w:hanging="567"/>
        <w:rPr>
          <w:lang w:eastAsia="en-AU" w:bidi="ar-SA"/>
        </w:rPr>
      </w:pPr>
      <w:r w:rsidRPr="006C4368">
        <w:rPr>
          <w:lang w:eastAsia="en-AU" w:bidi="ar-SA"/>
        </w:rPr>
        <w:t xml:space="preserve">more </w:t>
      </w:r>
      <w:r w:rsidRPr="008147B1">
        <w:rPr>
          <w:lang w:eastAsia="en-AU" w:bidi="ar-SA"/>
        </w:rPr>
        <w:t xml:space="preserve">than 35% identity in the amino acid sequence of the expressed protein, using a window of 80 amino acids and a suitable gap penalty, or </w:t>
      </w:r>
    </w:p>
    <w:p w14:paraId="2C8A2C02" w14:textId="77777777" w:rsidR="00441A23" w:rsidRPr="008147B1" w:rsidRDefault="00441A23" w:rsidP="00FD462C">
      <w:pPr>
        <w:pStyle w:val="FSBullet"/>
        <w:numPr>
          <w:ilvl w:val="0"/>
          <w:numId w:val="1"/>
        </w:numPr>
        <w:ind w:left="567" w:hanging="567"/>
        <w:rPr>
          <w:lang w:eastAsia="en-AU" w:bidi="ar-SA"/>
        </w:rPr>
      </w:pPr>
      <w:r w:rsidRPr="008147B1">
        <w:rPr>
          <w:lang w:eastAsia="en-AU" w:bidi="ar-SA"/>
        </w:rPr>
        <w:t>identity of 8 contiguous amino acids</w:t>
      </w:r>
    </w:p>
    <w:p w14:paraId="4BC71441" w14:textId="77777777" w:rsidR="00441A23" w:rsidRDefault="00441A23" w:rsidP="00441A23">
      <w:pPr>
        <w:rPr>
          <w:lang w:eastAsia="en-AU" w:bidi="ar-SA"/>
        </w:rPr>
      </w:pPr>
    </w:p>
    <w:p w14:paraId="2F60DF0D" w14:textId="10F7F28C" w:rsidR="00441A23" w:rsidRDefault="00441A23" w:rsidP="00441A23">
      <w:pPr>
        <w:rPr>
          <w:lang w:eastAsia="en-AU" w:bidi="ar-SA"/>
        </w:rPr>
      </w:pPr>
      <w:r>
        <w:rPr>
          <w:lang w:eastAsia="en-AU" w:bidi="ar-SA"/>
        </w:rPr>
        <w:t xml:space="preserve">These homology assessments are </w:t>
      </w:r>
      <w:r w:rsidR="00B813CF">
        <w:rPr>
          <w:lang w:eastAsia="en-AU" w:bidi="ar-SA"/>
        </w:rPr>
        <w:t>consistent</w:t>
      </w:r>
      <w:r>
        <w:rPr>
          <w:lang w:eastAsia="en-AU" w:bidi="ar-SA"/>
        </w:rPr>
        <w:t xml:space="preserve"> with the recommendations of international organisations for screening of new food enzymes or newly expressed proteins in genetically modified plants for potential allergenicity (</w:t>
      </w:r>
      <w:r w:rsidR="00526388">
        <w:rPr>
          <w:lang w:eastAsia="en-AU" w:bidi="ar-SA"/>
        </w:rPr>
        <w:t>Codex 2003, 2009</w:t>
      </w:r>
      <w:r>
        <w:rPr>
          <w:lang w:eastAsia="en-AU" w:bidi="ar-SA"/>
        </w:rPr>
        <w:t xml:space="preserve">; WHO 2016). </w:t>
      </w:r>
    </w:p>
    <w:p w14:paraId="3259BC9B" w14:textId="77777777" w:rsidR="00441A23" w:rsidRDefault="00441A23" w:rsidP="00441A23">
      <w:pPr>
        <w:rPr>
          <w:lang w:eastAsia="en-AU" w:bidi="ar-SA"/>
        </w:rPr>
      </w:pPr>
    </w:p>
    <w:p w14:paraId="37A559B4" w14:textId="476E58A5" w:rsidR="00441A23" w:rsidRDefault="00441A23" w:rsidP="00441A23">
      <w:pPr>
        <w:rPr>
          <w:lang w:eastAsia="en-AU" w:bidi="ar-SA"/>
        </w:rPr>
      </w:pPr>
      <w:r>
        <w:rPr>
          <w:lang w:eastAsia="en-AU" w:bidi="ar-SA"/>
        </w:rPr>
        <w:t>None of these searches identified any matches with known allergens.</w:t>
      </w:r>
    </w:p>
    <w:p w14:paraId="79559D8F" w14:textId="1A8E14D5" w:rsidR="00B813CF" w:rsidRDefault="00B813CF" w:rsidP="00441A23">
      <w:pPr>
        <w:rPr>
          <w:lang w:eastAsia="en-AU" w:bidi="ar-SA"/>
        </w:rPr>
      </w:pPr>
    </w:p>
    <w:p w14:paraId="4BA881F3" w14:textId="1F2CA6A5" w:rsidR="00B813CF" w:rsidRDefault="002966AB" w:rsidP="00441A23">
      <w:pPr>
        <w:rPr>
          <w:lang w:eastAsia="en-AU" w:bidi="ar-SA"/>
        </w:rPr>
      </w:pPr>
      <w:r>
        <w:rPr>
          <w:lang w:eastAsia="en-AU" w:bidi="ar-SA"/>
        </w:rPr>
        <w:t xml:space="preserve">There is also no evidence of </w:t>
      </w:r>
      <w:r w:rsidR="00B813CF" w:rsidRPr="00B813CF">
        <w:rPr>
          <w:lang w:eastAsia="en-AU" w:bidi="ar-SA"/>
        </w:rPr>
        <w:t>allergenicity</w:t>
      </w:r>
      <w:r>
        <w:rPr>
          <w:lang w:eastAsia="en-AU" w:bidi="ar-SA"/>
        </w:rPr>
        <w:t xml:space="preserve"> to p</w:t>
      </w:r>
      <w:r w:rsidRPr="002966AB">
        <w:rPr>
          <w:lang w:eastAsia="en-AU" w:bidi="ar-SA"/>
        </w:rPr>
        <w:t>rotein glut</w:t>
      </w:r>
      <w:r>
        <w:rPr>
          <w:lang w:eastAsia="en-AU" w:bidi="ar-SA"/>
        </w:rPr>
        <w:t xml:space="preserve">aminase from </w:t>
      </w:r>
      <w:r w:rsidRPr="00C329D9">
        <w:rPr>
          <w:i/>
          <w:lang w:eastAsia="en-AU" w:bidi="ar-SA"/>
        </w:rPr>
        <w:t>C.</w:t>
      </w:r>
      <w:r>
        <w:rPr>
          <w:lang w:eastAsia="en-AU" w:bidi="ar-SA"/>
        </w:rPr>
        <w:t xml:space="preserve"> </w:t>
      </w:r>
      <w:r w:rsidRPr="00C329D9">
        <w:rPr>
          <w:i/>
          <w:lang w:eastAsia="en-AU" w:bidi="ar-SA"/>
        </w:rPr>
        <w:t>proteolyticum</w:t>
      </w:r>
      <w:r>
        <w:rPr>
          <w:lang w:eastAsia="en-AU" w:bidi="ar-SA"/>
        </w:rPr>
        <w:t xml:space="preserve"> in countries with existing approvals for the enzyme (France and USA)</w:t>
      </w:r>
      <w:r w:rsidR="00117EA7">
        <w:rPr>
          <w:lang w:eastAsia="en-AU" w:bidi="ar-SA"/>
        </w:rPr>
        <w:t xml:space="preserve">. </w:t>
      </w:r>
    </w:p>
    <w:p w14:paraId="58F8F8DF" w14:textId="77777777" w:rsidR="002966AB" w:rsidRDefault="002966AB" w:rsidP="00441A23">
      <w:pPr>
        <w:rPr>
          <w:lang w:eastAsia="en-AU" w:bidi="ar-SA"/>
        </w:rPr>
      </w:pPr>
    </w:p>
    <w:p w14:paraId="284CE8CD" w14:textId="5147D342" w:rsidR="002966AB" w:rsidRDefault="002966AB" w:rsidP="00441A23">
      <w:pPr>
        <w:rPr>
          <w:lang w:eastAsia="en-AU" w:bidi="ar-SA"/>
        </w:rPr>
      </w:pPr>
      <w:r w:rsidRPr="002966AB">
        <w:rPr>
          <w:lang w:eastAsia="en-AU" w:bidi="ar-SA"/>
        </w:rPr>
        <w:t xml:space="preserve">Overall, it is concluded that protein glutaminase from </w:t>
      </w:r>
      <w:r w:rsidRPr="00C329D9">
        <w:rPr>
          <w:i/>
          <w:lang w:eastAsia="en-AU" w:bidi="ar-SA"/>
        </w:rPr>
        <w:t>C.</w:t>
      </w:r>
      <w:r w:rsidRPr="002966AB">
        <w:rPr>
          <w:lang w:eastAsia="en-AU" w:bidi="ar-SA"/>
        </w:rPr>
        <w:t xml:space="preserve"> </w:t>
      </w:r>
      <w:r w:rsidRPr="00C329D9">
        <w:rPr>
          <w:i/>
          <w:lang w:eastAsia="en-AU" w:bidi="ar-SA"/>
        </w:rPr>
        <w:t>proteolyticum</w:t>
      </w:r>
      <w:r w:rsidRPr="002966AB">
        <w:rPr>
          <w:lang w:eastAsia="en-AU" w:bidi="ar-SA"/>
        </w:rPr>
        <w:t xml:space="preserve"> strain AE-PG does not have the characteristics of a potential food allergen and ingestion of any residual protein glutaminase in food products is unlikely to pose an allergenicity concern.</w:t>
      </w:r>
    </w:p>
    <w:p w14:paraId="75701383" w14:textId="6BD92ECE" w:rsidR="00B85F37" w:rsidRPr="009B7560" w:rsidRDefault="009B7560" w:rsidP="00C329D9">
      <w:pPr>
        <w:pStyle w:val="Heading3"/>
      </w:pPr>
      <w:bookmarkStart w:id="77" w:name="_Toc492456037"/>
      <w:r w:rsidRPr="009B7560">
        <w:t>3.</w:t>
      </w:r>
      <w:r w:rsidR="00A206A6">
        <w:t>6</w:t>
      </w:r>
      <w:r w:rsidRPr="009B7560">
        <w:t xml:space="preserve"> </w:t>
      </w:r>
      <w:r w:rsidR="00386537">
        <w:tab/>
      </w:r>
      <w:r w:rsidR="00B85F37" w:rsidRPr="009B7560">
        <w:t>In vitro digestibility study</w:t>
      </w:r>
      <w:bookmarkEnd w:id="77"/>
    </w:p>
    <w:p w14:paraId="78E7C7DB" w14:textId="7176157D" w:rsidR="00B85F37" w:rsidRDefault="00B85F37" w:rsidP="00441A23">
      <w:pPr>
        <w:rPr>
          <w:lang w:eastAsia="en-AU" w:bidi="ar-SA"/>
        </w:rPr>
      </w:pPr>
      <w:r>
        <w:rPr>
          <w:lang w:eastAsia="en-AU" w:bidi="ar-SA"/>
        </w:rPr>
        <w:t xml:space="preserve">A digestion test using simulated gastric fluid and simulated intestinal fluid </w:t>
      </w:r>
      <w:r w:rsidR="00541046">
        <w:rPr>
          <w:lang w:eastAsia="en-AU" w:bidi="ar-SA"/>
        </w:rPr>
        <w:t xml:space="preserve">was </w:t>
      </w:r>
      <w:r w:rsidR="009A10F3">
        <w:rPr>
          <w:lang w:eastAsia="en-AU" w:bidi="ar-SA"/>
        </w:rPr>
        <w:t>provided by the applicant</w:t>
      </w:r>
      <w:r w:rsidR="00C143C7">
        <w:rPr>
          <w:lang w:eastAsia="en-AU" w:bidi="ar-SA"/>
        </w:rPr>
        <w:t xml:space="preserve"> </w:t>
      </w:r>
      <w:r w:rsidR="00C143C7" w:rsidRPr="00BE509D">
        <w:rPr>
          <w:lang w:eastAsia="en-AU" w:bidi="ar-SA"/>
        </w:rPr>
        <w:t>(</w:t>
      </w:r>
      <w:r w:rsidR="00BB0072" w:rsidRPr="00BE509D">
        <w:rPr>
          <w:lang w:eastAsia="en-AU" w:bidi="ar-SA"/>
        </w:rPr>
        <w:t xml:space="preserve">Amano </w:t>
      </w:r>
      <w:r w:rsidR="00BE509D" w:rsidRPr="00BE509D">
        <w:rPr>
          <w:lang w:eastAsia="en-AU" w:bidi="ar-SA"/>
        </w:rPr>
        <w:t>2009</w:t>
      </w:r>
      <w:r w:rsidR="00C143C7" w:rsidRPr="00BE509D">
        <w:rPr>
          <w:lang w:eastAsia="en-AU" w:bidi="ar-SA"/>
        </w:rPr>
        <w:t>)</w:t>
      </w:r>
      <w:r w:rsidR="009A10F3">
        <w:rPr>
          <w:lang w:eastAsia="en-AU" w:bidi="ar-SA"/>
        </w:rPr>
        <w:t xml:space="preserve">. This study is not </w:t>
      </w:r>
      <w:r w:rsidR="00FE0900">
        <w:rPr>
          <w:lang w:eastAsia="en-AU" w:bidi="ar-SA"/>
        </w:rPr>
        <w:t>required,</w:t>
      </w:r>
      <w:r w:rsidR="009A10F3">
        <w:rPr>
          <w:lang w:eastAsia="en-AU" w:bidi="ar-SA"/>
        </w:rPr>
        <w:t xml:space="preserve"> as the amino acid sequence of the enzyme has no similarity to any known allergens. However, it is noted that this study demonstrated that protein</w:t>
      </w:r>
      <w:r w:rsidR="00A17B41">
        <w:rPr>
          <w:lang w:eastAsia="en-AU" w:bidi="ar-SA"/>
        </w:rPr>
        <w:t xml:space="preserve"> </w:t>
      </w:r>
      <w:r w:rsidR="009A10F3">
        <w:rPr>
          <w:lang w:eastAsia="en-AU" w:bidi="ar-SA"/>
        </w:rPr>
        <w:t>glutaminase</w:t>
      </w:r>
      <w:r w:rsidR="00C329D9">
        <w:rPr>
          <w:lang w:eastAsia="en-AU" w:bidi="ar-SA"/>
        </w:rPr>
        <w:t xml:space="preserve"> from </w:t>
      </w:r>
      <w:r w:rsidR="00C329D9" w:rsidRPr="00C329D9">
        <w:rPr>
          <w:i/>
          <w:lang w:eastAsia="en-AU" w:bidi="ar-SA"/>
        </w:rPr>
        <w:t>C. proteolyticum</w:t>
      </w:r>
      <w:r w:rsidR="00C329D9">
        <w:rPr>
          <w:lang w:eastAsia="en-AU" w:bidi="ar-SA"/>
        </w:rPr>
        <w:t xml:space="preserve"> (strain unspecified)</w:t>
      </w:r>
      <w:r w:rsidR="009A10F3">
        <w:rPr>
          <w:lang w:eastAsia="en-AU" w:bidi="ar-SA"/>
        </w:rPr>
        <w:t xml:space="preserve"> was rapidly digested </w:t>
      </w:r>
      <w:r w:rsidR="00E2391D">
        <w:rPr>
          <w:lang w:eastAsia="en-AU" w:bidi="ar-SA"/>
        </w:rPr>
        <w:t>in simulated pepsin-containing gastric fluids</w:t>
      </w:r>
      <w:r w:rsidR="009A10F3">
        <w:rPr>
          <w:lang w:eastAsia="en-AU" w:bidi="ar-SA"/>
        </w:rPr>
        <w:t xml:space="preserve"> of pH 1.2 and pH 2.0, with no protein detected after incubation for 30 seconds or 2 minutes, respectively. No peptide fragments were detected at either pH. </w:t>
      </w:r>
      <w:r w:rsidR="00E2391D">
        <w:rPr>
          <w:lang w:eastAsia="en-AU" w:bidi="ar-SA"/>
        </w:rPr>
        <w:t>Protein</w:t>
      </w:r>
      <w:r w:rsidR="00A17B41">
        <w:rPr>
          <w:lang w:eastAsia="en-AU" w:bidi="ar-SA"/>
        </w:rPr>
        <w:t xml:space="preserve"> </w:t>
      </w:r>
      <w:r w:rsidR="00E2391D">
        <w:rPr>
          <w:lang w:eastAsia="en-AU" w:bidi="ar-SA"/>
        </w:rPr>
        <w:t>glutaminase was also digested in simulated pancreatin-containing intestinal fluid (pH 6.8), although peptide fragments persisted up to a reaction time of 60 minutes, the longest reaction time tested.</w:t>
      </w:r>
    </w:p>
    <w:p w14:paraId="23B508FA" w14:textId="4A902964" w:rsidR="00234E62" w:rsidRPr="00854B91" w:rsidRDefault="009B7560" w:rsidP="00C329D9">
      <w:pPr>
        <w:pStyle w:val="Heading3"/>
      </w:pPr>
      <w:bookmarkStart w:id="78" w:name="_Toc492456038"/>
      <w:r w:rsidRPr="009B7560">
        <w:t>3.</w:t>
      </w:r>
      <w:r w:rsidR="00A206A6">
        <w:t>7</w:t>
      </w:r>
      <w:r w:rsidRPr="009B7560">
        <w:t xml:space="preserve"> </w:t>
      </w:r>
      <w:r w:rsidR="00347212">
        <w:tab/>
      </w:r>
      <w:r w:rsidR="00F770BB" w:rsidRPr="009B7560">
        <w:t>Residual allergens from the culture medium</w:t>
      </w:r>
      <w:bookmarkEnd w:id="78"/>
    </w:p>
    <w:p w14:paraId="29765836" w14:textId="77777777" w:rsidR="00016C48" w:rsidRDefault="00F770BB" w:rsidP="00690206">
      <w:pPr>
        <w:rPr>
          <w:lang w:eastAsia="en-AU" w:bidi="ar-SA"/>
        </w:rPr>
      </w:pPr>
      <w:r>
        <w:rPr>
          <w:lang w:eastAsia="en-AU" w:bidi="ar-SA"/>
        </w:rPr>
        <w:t>Soybean derivatives are used in the fermentation media and soy is a food allergen. However, analysis of protein</w:t>
      </w:r>
      <w:r w:rsidR="00A17B41">
        <w:rPr>
          <w:lang w:eastAsia="en-AU" w:bidi="ar-SA"/>
        </w:rPr>
        <w:t xml:space="preserve"> </w:t>
      </w:r>
      <w:r>
        <w:rPr>
          <w:lang w:eastAsia="en-AU" w:bidi="ar-SA"/>
        </w:rPr>
        <w:t>glutaminase indicates that soybean protein is not detected above the limit of detection of 1 mg/kg. The protein</w:t>
      </w:r>
      <w:r w:rsidR="00A17B41">
        <w:rPr>
          <w:lang w:eastAsia="en-AU" w:bidi="ar-SA"/>
        </w:rPr>
        <w:t xml:space="preserve"> </w:t>
      </w:r>
      <w:r>
        <w:rPr>
          <w:lang w:eastAsia="en-AU" w:bidi="ar-SA"/>
        </w:rPr>
        <w:t xml:space="preserve">glutaminase enzyme powder is further diluted with </w:t>
      </w:r>
      <w:r w:rsidR="00FE0900">
        <w:rPr>
          <w:lang w:eastAsia="en-AU" w:bidi="ar-SA"/>
        </w:rPr>
        <w:t xml:space="preserve">Cassava </w:t>
      </w:r>
      <w:r>
        <w:rPr>
          <w:lang w:eastAsia="en-AU" w:bidi="ar-SA"/>
        </w:rPr>
        <w:t>dextrin. Exposure to any potential residual soy allergens in final food products is therefore expected to be negligible and is not likely to be of allergenic concern.</w:t>
      </w:r>
    </w:p>
    <w:p w14:paraId="5C0181B5" w14:textId="77777777" w:rsidR="00016C48" w:rsidRDefault="00016C48" w:rsidP="00690206">
      <w:pPr>
        <w:rPr>
          <w:lang w:eastAsia="en-AU" w:bidi="ar-SA"/>
        </w:rPr>
      </w:pPr>
    </w:p>
    <w:p w14:paraId="0F8DD784" w14:textId="660551F3" w:rsidR="00016C48" w:rsidRPr="00016C48" w:rsidRDefault="00A206A6" w:rsidP="00FA6ABA">
      <w:pPr>
        <w:pStyle w:val="Heading3"/>
      </w:pPr>
      <w:bookmarkStart w:id="79" w:name="_Toc492456039"/>
      <w:r>
        <w:t>3.8</w:t>
      </w:r>
      <w:r w:rsidR="00016C48" w:rsidRPr="00016C48">
        <w:tab/>
        <w:t>Enzyme and source microorganism nomenclature</w:t>
      </w:r>
      <w:bookmarkEnd w:id="79"/>
    </w:p>
    <w:p w14:paraId="4F918EA3" w14:textId="77777777" w:rsidR="00016C48" w:rsidRPr="00016C48" w:rsidRDefault="00016C48" w:rsidP="00016C48">
      <w:r w:rsidRPr="00016C48">
        <w:t xml:space="preserve">The International Union of Biochemistry and Molecular Biology (IUBMB), the internationally recognised authority for enzyme nomenclature, uses the name “protein-glutamine glutaminase” for enzymes with an EC number of 3.5.1.44 (IUBMB 2017). </w:t>
      </w:r>
    </w:p>
    <w:p w14:paraId="1E19D916" w14:textId="77777777" w:rsidR="00016C48" w:rsidRPr="00016C48" w:rsidRDefault="00016C48" w:rsidP="00016C48">
      <w:pPr>
        <w:rPr>
          <w:rFonts w:cs="Arial"/>
        </w:rPr>
      </w:pPr>
    </w:p>
    <w:p w14:paraId="60A9DA9C" w14:textId="704B8D1E" w:rsidR="00016C48" w:rsidRPr="00016C48" w:rsidRDefault="00016C48" w:rsidP="00016C48">
      <w:r w:rsidRPr="00016C48">
        <w:rPr>
          <w:i/>
        </w:rPr>
        <w:t>C. proteolyticum</w:t>
      </w:r>
      <w:r w:rsidRPr="00016C48">
        <w:t xml:space="preserve"> is not currently listed in Schedule 18</w:t>
      </w:r>
      <w:r w:rsidR="006D02E2">
        <w:t xml:space="preserve"> of the Code</w:t>
      </w:r>
      <w:r w:rsidRPr="00016C48">
        <w:t xml:space="preserve">. The species </w:t>
      </w:r>
      <w:r w:rsidRPr="00016C48">
        <w:rPr>
          <w:i/>
        </w:rPr>
        <w:t>C.</w:t>
      </w:r>
      <w:r w:rsidR="006D02E2">
        <w:rPr>
          <w:i/>
        </w:rPr>
        <w:t> </w:t>
      </w:r>
      <w:r w:rsidRPr="00016C48">
        <w:rPr>
          <w:i/>
        </w:rPr>
        <w:t>proteolyticum</w:t>
      </w:r>
      <w:r w:rsidRPr="00016C48">
        <w:t xml:space="preserve"> is not an approved bacterial name with standing in nomenclature, although Yamaguchi and Yokoe (2000) proposed that a new species with the name </w:t>
      </w:r>
      <w:r w:rsidRPr="00016C48">
        <w:rPr>
          <w:i/>
        </w:rPr>
        <w:t>C. proteolyticum</w:t>
      </w:r>
      <w:r w:rsidRPr="00016C48">
        <w:t xml:space="preserve"> sp. nov. strain 9670 be designated as the type strain. The study by Yamaguchi and Yokoe (2000) described two strains (9670 and 9671), isolated from soil in Japan, for which DNA–DNA relatedness data and 16S rRNA sequence analysis indicated that the strains belong to the genus </w:t>
      </w:r>
      <w:r w:rsidRPr="00016C48">
        <w:rPr>
          <w:i/>
        </w:rPr>
        <w:t>Chryseobacterium</w:t>
      </w:r>
      <w:r w:rsidRPr="00016C48">
        <w:t>, but not to an already described species. The type strain, 9670, has been deposited in the Patent Microorganism Depository, National Institute of Bioscience and Human Technology (Tsukuba, Japan), as strain FERM P-17664 (Yamaguchi S, Yokoe, M 2000).</w:t>
      </w:r>
    </w:p>
    <w:p w14:paraId="6F3486A9" w14:textId="77777777" w:rsidR="00016C48" w:rsidRPr="00016C48" w:rsidRDefault="00016C48" w:rsidP="00016C48"/>
    <w:p w14:paraId="4D1EE220" w14:textId="170B0205" w:rsidR="00016C48" w:rsidRPr="00016C48" w:rsidRDefault="00016C48" w:rsidP="00016C48">
      <w:pPr>
        <w:rPr>
          <w:lang w:bidi="ar-SA"/>
        </w:rPr>
      </w:pPr>
      <w:r w:rsidRPr="00016C48">
        <w:t xml:space="preserve">The Application included safety data for </w:t>
      </w:r>
      <w:r w:rsidRPr="00016C48">
        <w:rPr>
          <w:i/>
        </w:rPr>
        <w:t>C. proteolyticum</w:t>
      </w:r>
      <w:r w:rsidRPr="00016C48">
        <w:t xml:space="preserve"> strain 9670 and the production strain AE-PG, which was derived from strain 9670 through chemical mutagenesis. While strain 9670 and AE-PG present no safety issues, there is currently insufficient evidence to assess the safety of </w:t>
      </w:r>
      <w:r w:rsidRPr="00016C48">
        <w:rPr>
          <w:i/>
        </w:rPr>
        <w:t>C. proteolyticum</w:t>
      </w:r>
      <w:r w:rsidRPr="00016C48">
        <w:t xml:space="preserve"> at the species level as it is a novel bacterium with no other strains characterised or described in the scientific literature. This is consistent with the determination of the EFSA Panel on Biological Hazards, which recently recommended that </w:t>
      </w:r>
      <w:r w:rsidRPr="00016C48">
        <w:rPr>
          <w:i/>
        </w:rPr>
        <w:t>C. proteolyticum</w:t>
      </w:r>
      <w:r w:rsidRPr="00016C48">
        <w:t xml:space="preserve"> was not suitable for inclusion on the list of microorganisms with a Qualified Presumption of Safety due to an insufficient body of evidence as all available safety studies refer to a single strain (EFSA 2016). Inclusion of the source microorganism in Schedule 18 should therefore refer to the species and strain name </w:t>
      </w:r>
      <w:r w:rsidRPr="00016C48">
        <w:rPr>
          <w:i/>
        </w:rPr>
        <w:t>Chryseobacterium proteolyticum</w:t>
      </w:r>
      <w:r w:rsidRPr="00016C48">
        <w:t xml:space="preserve"> strain AE-PG.</w:t>
      </w:r>
    </w:p>
    <w:p w14:paraId="2E3067A0" w14:textId="614D4F9F" w:rsidR="00DA7BBF" w:rsidRPr="00D14142" w:rsidRDefault="00A206A6" w:rsidP="00D14142">
      <w:pPr>
        <w:pStyle w:val="Heading3"/>
        <w:rPr>
          <w:b w:val="0"/>
          <w:bCs w:val="0"/>
        </w:rPr>
      </w:pPr>
      <w:bookmarkStart w:id="80" w:name="_Toc476908640"/>
      <w:bookmarkStart w:id="81" w:name="_Toc478375864"/>
      <w:bookmarkStart w:id="82" w:name="_Toc485893694"/>
      <w:bookmarkStart w:id="83" w:name="_Toc492456040"/>
      <w:bookmarkStart w:id="84" w:name="_Toc467071699"/>
      <w:bookmarkStart w:id="85" w:name="_Toc472668751"/>
      <w:r>
        <w:t>3.9</w:t>
      </w:r>
      <w:r w:rsidR="00DA7BBF" w:rsidRPr="00D14142">
        <w:tab/>
      </w:r>
      <w:r w:rsidR="00386537" w:rsidRPr="00D14142">
        <w:t xml:space="preserve">Hazard </w:t>
      </w:r>
      <w:r w:rsidR="00DA7BBF" w:rsidRPr="00D14142">
        <w:t>assessment conclusion</w:t>
      </w:r>
      <w:bookmarkEnd w:id="80"/>
      <w:bookmarkEnd w:id="81"/>
      <w:bookmarkEnd w:id="82"/>
      <w:bookmarkEnd w:id="83"/>
    </w:p>
    <w:bookmarkEnd w:id="84"/>
    <w:bookmarkEnd w:id="85"/>
    <w:p w14:paraId="08F4BEFB" w14:textId="7DC33283" w:rsidR="004736EA" w:rsidRDefault="004736EA" w:rsidP="004736EA">
      <w:pPr>
        <w:rPr>
          <w:lang w:eastAsia="en-AU" w:bidi="ar-SA"/>
        </w:rPr>
      </w:pPr>
      <w:r>
        <w:t xml:space="preserve">There are no public health and safety concerns associated with the use of protein glutaminase from </w:t>
      </w:r>
      <w:r w:rsidRPr="00F632F9">
        <w:rPr>
          <w:i/>
        </w:rPr>
        <w:t>C. proteolyticum</w:t>
      </w:r>
      <w:r>
        <w:t xml:space="preserve"> </w:t>
      </w:r>
      <w:r w:rsidR="00016C48" w:rsidRPr="00016C48">
        <w:t xml:space="preserve">strain AE-PG </w:t>
      </w:r>
      <w:r>
        <w:t xml:space="preserve">as a food processing aid, </w:t>
      </w:r>
      <w:r w:rsidR="00FE0900">
        <w:t>based on</w:t>
      </w:r>
      <w:r>
        <w:t xml:space="preserve"> the following considerations: </w:t>
      </w:r>
    </w:p>
    <w:p w14:paraId="4378EDAE" w14:textId="5F844812" w:rsidR="004736EA" w:rsidRDefault="00D42B0C" w:rsidP="000E223D">
      <w:pPr>
        <w:pStyle w:val="FSBullet1"/>
        <w:rPr>
          <w:lang w:eastAsia="en-AU"/>
        </w:rPr>
      </w:pPr>
      <w:r w:rsidRPr="000E223D">
        <w:rPr>
          <w:i/>
          <w:lang w:eastAsia="en-AU"/>
        </w:rPr>
        <w:t>C. proteolyticum</w:t>
      </w:r>
      <w:r>
        <w:rPr>
          <w:lang w:eastAsia="en-AU"/>
        </w:rPr>
        <w:t xml:space="preserve"> </w:t>
      </w:r>
      <w:r w:rsidR="00016C48" w:rsidRPr="00016C48">
        <w:rPr>
          <w:lang w:eastAsia="en-AU"/>
        </w:rPr>
        <w:t xml:space="preserve">strain AE-PG </w:t>
      </w:r>
      <w:r>
        <w:rPr>
          <w:lang w:eastAsia="en-AU"/>
        </w:rPr>
        <w:t xml:space="preserve">is not pathogenic or toxigenic </w:t>
      </w:r>
    </w:p>
    <w:p w14:paraId="3F1FBF7C" w14:textId="148720FE" w:rsidR="004736EA" w:rsidRDefault="004736EA" w:rsidP="000E223D">
      <w:pPr>
        <w:pStyle w:val="FSBullet1"/>
        <w:rPr>
          <w:lang w:eastAsia="en-AU"/>
        </w:rPr>
      </w:pPr>
      <w:r>
        <w:rPr>
          <w:lang w:eastAsia="en-AU"/>
        </w:rPr>
        <w:t>Protein glutaminase</w:t>
      </w:r>
      <w:r w:rsidR="007F6F35">
        <w:rPr>
          <w:lang w:eastAsia="en-AU"/>
        </w:rPr>
        <w:t xml:space="preserve"> from </w:t>
      </w:r>
      <w:r w:rsidR="007F6F35" w:rsidRPr="007F6F35">
        <w:rPr>
          <w:i/>
          <w:lang w:eastAsia="en-AU"/>
        </w:rPr>
        <w:t>C. proteolyticum</w:t>
      </w:r>
      <w:r>
        <w:rPr>
          <w:lang w:eastAsia="en-AU"/>
        </w:rPr>
        <w:t xml:space="preserve"> </w:t>
      </w:r>
      <w:r w:rsidR="00016C48" w:rsidRPr="00016C48">
        <w:rPr>
          <w:lang w:eastAsia="en-AU"/>
        </w:rPr>
        <w:t xml:space="preserve">strain AE-PG </w:t>
      </w:r>
      <w:r>
        <w:rPr>
          <w:lang w:eastAsia="en-AU"/>
        </w:rPr>
        <w:t xml:space="preserve">was not genotoxic </w:t>
      </w:r>
      <w:r w:rsidRPr="000E223D">
        <w:rPr>
          <w:i/>
          <w:lang w:eastAsia="en-AU"/>
        </w:rPr>
        <w:t>in vitro</w:t>
      </w:r>
    </w:p>
    <w:p w14:paraId="1E400146" w14:textId="2A594A90" w:rsidR="004736EA" w:rsidRDefault="004736EA" w:rsidP="000E223D">
      <w:pPr>
        <w:pStyle w:val="FSBullet1"/>
        <w:rPr>
          <w:lang w:eastAsia="en-AU"/>
        </w:rPr>
      </w:pPr>
      <w:r w:rsidRPr="000E223D">
        <w:rPr>
          <w:rFonts w:eastAsia="Calibri"/>
        </w:rPr>
        <w:t xml:space="preserve">The no observed adverse effect level (NOAEL) in a 13-week repeated dose oral toxicity study in rats was the highest dose tested and </w:t>
      </w:r>
      <w:r>
        <w:rPr>
          <w:lang w:eastAsia="en-AU"/>
        </w:rPr>
        <w:t xml:space="preserve">corresponds to 2538 mg/kg bw/day or 92.8 mg TOS/kg bw/day. This is more than </w:t>
      </w:r>
      <w:r w:rsidR="00E24DF5">
        <w:rPr>
          <w:lang w:eastAsia="en-AU"/>
        </w:rPr>
        <w:t>200</w:t>
      </w:r>
      <w:r>
        <w:rPr>
          <w:lang w:eastAsia="en-AU"/>
        </w:rPr>
        <w:t>-</w:t>
      </w:r>
      <w:r w:rsidRPr="009F51C9">
        <w:rPr>
          <w:lang w:eastAsia="en-AU"/>
        </w:rPr>
        <w:t>fold higher than the Applicant’s estimate of an individual’s theoretical maximal daily intake</w:t>
      </w:r>
      <w:r>
        <w:rPr>
          <w:lang w:eastAsia="en-AU"/>
        </w:rPr>
        <w:t xml:space="preserve"> (</w:t>
      </w:r>
      <w:r w:rsidR="00E24DF5">
        <w:rPr>
          <w:lang w:eastAsia="en-AU"/>
        </w:rPr>
        <w:t>0.38</w:t>
      </w:r>
      <w:r>
        <w:rPr>
          <w:lang w:eastAsia="en-AU"/>
        </w:rPr>
        <w:t xml:space="preserve"> mg TOS/kg bw/day) based on the proposed uses, as stated in the Application</w:t>
      </w:r>
    </w:p>
    <w:p w14:paraId="187D8E95" w14:textId="464EC0B4" w:rsidR="004736EA" w:rsidRDefault="00F632F9" w:rsidP="004736EA">
      <w:pPr>
        <w:pStyle w:val="FSBullet1"/>
        <w:rPr>
          <w:lang w:eastAsia="en-AU"/>
        </w:rPr>
      </w:pPr>
      <w:r>
        <w:rPr>
          <w:lang w:eastAsia="en-AU"/>
        </w:rPr>
        <w:t>Protein glutaminase</w:t>
      </w:r>
      <w:r w:rsidR="004736EA">
        <w:rPr>
          <w:lang w:eastAsia="en-AU"/>
        </w:rPr>
        <w:t xml:space="preserve"> from </w:t>
      </w:r>
      <w:r w:rsidR="004736EA" w:rsidRPr="00DA2F8D">
        <w:rPr>
          <w:i/>
          <w:lang w:eastAsia="en-AU"/>
        </w:rPr>
        <w:t>C</w:t>
      </w:r>
      <w:r w:rsidR="004736EA">
        <w:rPr>
          <w:i/>
          <w:lang w:eastAsia="en-AU"/>
        </w:rPr>
        <w:t>.</w:t>
      </w:r>
      <w:r w:rsidR="004736EA" w:rsidRPr="00DA2F8D">
        <w:rPr>
          <w:i/>
          <w:lang w:eastAsia="en-AU"/>
        </w:rPr>
        <w:t xml:space="preserve"> </w:t>
      </w:r>
      <w:r>
        <w:rPr>
          <w:i/>
          <w:lang w:eastAsia="en-AU"/>
        </w:rPr>
        <w:t xml:space="preserve">proteolyticum </w:t>
      </w:r>
      <w:r w:rsidR="00016C48" w:rsidRPr="00016C48">
        <w:t>strain AE-PG</w:t>
      </w:r>
      <w:r w:rsidR="00016C48">
        <w:rPr>
          <w:lang w:eastAsia="en-AU"/>
        </w:rPr>
        <w:t xml:space="preserve"> </w:t>
      </w:r>
      <w:r w:rsidR="004736EA">
        <w:rPr>
          <w:lang w:eastAsia="en-AU"/>
        </w:rPr>
        <w:t xml:space="preserve">does not </w:t>
      </w:r>
      <w:r w:rsidR="00BC7C71">
        <w:rPr>
          <w:rFonts w:eastAsia="Calibri"/>
          <w:color w:val="000000" w:themeColor="text1"/>
          <w:szCs w:val="22"/>
        </w:rPr>
        <w:t>have the characteristics of a potential food allergen and ingestion of any residual protein glutaminase in food products is unlikely to pose an allergenicity concern</w:t>
      </w:r>
      <w:r w:rsidR="004736EA">
        <w:rPr>
          <w:lang w:eastAsia="en-AU"/>
        </w:rPr>
        <w:t xml:space="preserve">. </w:t>
      </w:r>
    </w:p>
    <w:p w14:paraId="23D3ADCB" w14:textId="77777777" w:rsidR="004736EA" w:rsidRDefault="004736EA" w:rsidP="004736EA">
      <w:pPr>
        <w:widowControl/>
        <w:rPr>
          <w:lang w:eastAsia="en-AU" w:bidi="ar-SA"/>
        </w:rPr>
      </w:pPr>
    </w:p>
    <w:p w14:paraId="0ABEF90D" w14:textId="2421B838" w:rsidR="004736EA" w:rsidRDefault="004736EA" w:rsidP="004736EA">
      <w:pPr>
        <w:widowControl/>
        <w:rPr>
          <w:lang w:eastAsia="en-AU" w:bidi="ar-SA"/>
        </w:rPr>
      </w:pPr>
      <w:r>
        <w:rPr>
          <w:lang w:eastAsia="en-AU" w:bidi="ar-SA"/>
        </w:rPr>
        <w:t xml:space="preserve">Based on the reviewed toxicological data it is concluded that in the absence of any identifiable hazard an Acceptable Daily Intake (ADI) ‘not specified’ is appropriate. A dietary exposure assessment was therefore not required. </w:t>
      </w:r>
    </w:p>
    <w:p w14:paraId="3CA50FD0" w14:textId="0A00FA33" w:rsidR="00710A43" w:rsidRDefault="00710A43" w:rsidP="004736EA">
      <w:pPr>
        <w:widowControl/>
        <w:rPr>
          <w:rFonts w:eastAsia="Calibri"/>
          <w:color w:val="000000" w:themeColor="text1"/>
          <w:szCs w:val="22"/>
          <w:lang w:bidi="ar-SA"/>
        </w:rPr>
      </w:pPr>
    </w:p>
    <w:p w14:paraId="628B2030" w14:textId="3399F845" w:rsidR="00710A43" w:rsidRDefault="00710A43" w:rsidP="00710A43">
      <w:pPr>
        <w:rPr>
          <w:rFonts w:eastAsia="Calibri"/>
          <w:color w:val="000000" w:themeColor="text1"/>
          <w:szCs w:val="22"/>
          <w:lang w:bidi="ar-SA"/>
        </w:rPr>
      </w:pPr>
      <w:r>
        <w:rPr>
          <w:lang w:eastAsia="en-AU" w:bidi="ar-SA"/>
        </w:rPr>
        <w:t xml:space="preserve">It is concluded that </w:t>
      </w:r>
      <w:r w:rsidRPr="0044606A">
        <w:t xml:space="preserve">there are no safety </w:t>
      </w:r>
      <w:r>
        <w:t xml:space="preserve">concerns associated with </w:t>
      </w:r>
      <w:r w:rsidRPr="0044606A">
        <w:t>the use of this enzyme</w:t>
      </w:r>
      <w:r>
        <w:t xml:space="preserve"> as a food processing aid.</w:t>
      </w:r>
    </w:p>
    <w:p w14:paraId="0CB9DA2E" w14:textId="77777777" w:rsidR="00DA7BBF" w:rsidRPr="00DA7BBF" w:rsidRDefault="00DA7BBF" w:rsidP="00DA7BBF">
      <w:pPr>
        <w:widowControl/>
        <w:rPr>
          <w:lang w:bidi="ar-SA"/>
        </w:rPr>
      </w:pPr>
      <w:r w:rsidRPr="00DA7BBF">
        <w:rPr>
          <w:lang w:eastAsia="en-AU" w:bidi="ar-SA"/>
        </w:rPr>
        <w:br w:type="page"/>
      </w:r>
    </w:p>
    <w:p w14:paraId="50F3CC5C" w14:textId="4A7A8C68" w:rsidR="00DA7BBF" w:rsidRPr="00DA7BBF" w:rsidRDefault="00DA7BBF" w:rsidP="00DA7BBF">
      <w:pPr>
        <w:keepNext/>
        <w:spacing w:before="240" w:after="240"/>
        <w:ind w:left="851" w:hanging="851"/>
        <w:outlineLvl w:val="0"/>
        <w:rPr>
          <w:b/>
          <w:bCs/>
          <w:sz w:val="36"/>
          <w:szCs w:val="28"/>
          <w:lang w:bidi="ar-SA"/>
        </w:rPr>
      </w:pPr>
      <w:bookmarkStart w:id="86" w:name="_Toc467071700"/>
      <w:bookmarkStart w:id="87" w:name="_Toc472668752"/>
      <w:bookmarkStart w:id="88" w:name="_Toc476908641"/>
      <w:bookmarkStart w:id="89" w:name="_Toc478375865"/>
      <w:bookmarkStart w:id="90" w:name="_Toc485893695"/>
      <w:bookmarkStart w:id="91" w:name="_Toc492456041"/>
      <w:r w:rsidRPr="00DA7BBF">
        <w:rPr>
          <w:b/>
          <w:bCs/>
          <w:sz w:val="36"/>
          <w:szCs w:val="28"/>
          <w:lang w:bidi="ar-SA"/>
        </w:rPr>
        <w:lastRenderedPageBreak/>
        <w:t>References</w:t>
      </w:r>
      <w:bookmarkEnd w:id="86"/>
      <w:bookmarkEnd w:id="87"/>
      <w:bookmarkEnd w:id="88"/>
      <w:bookmarkEnd w:id="89"/>
      <w:bookmarkEnd w:id="90"/>
      <w:bookmarkEnd w:id="91"/>
    </w:p>
    <w:p w14:paraId="4F7DFB4A" w14:textId="73947A3A" w:rsidR="002413F7" w:rsidRPr="00C50026" w:rsidRDefault="002413F7" w:rsidP="002413F7">
      <w:pPr>
        <w:rPr>
          <w:szCs w:val="20"/>
        </w:rPr>
      </w:pPr>
      <w:r w:rsidRPr="00C50026">
        <w:rPr>
          <w:szCs w:val="20"/>
        </w:rPr>
        <w:t>Amano (</w:t>
      </w:r>
      <w:r w:rsidR="00BE509D" w:rsidRPr="00C50026">
        <w:rPr>
          <w:szCs w:val="20"/>
        </w:rPr>
        <w:t>2009</w:t>
      </w:r>
      <w:r w:rsidRPr="00C50026">
        <w:rPr>
          <w:szCs w:val="20"/>
        </w:rPr>
        <w:t>) Appendix 12. Digestion tests using a simulated gastric fluid and a</w:t>
      </w:r>
      <w:r w:rsidR="00FE0900">
        <w:rPr>
          <w:szCs w:val="20"/>
        </w:rPr>
        <w:t xml:space="preserve"> </w:t>
      </w:r>
      <w:r w:rsidRPr="00C50026">
        <w:rPr>
          <w:szCs w:val="20"/>
        </w:rPr>
        <w:t xml:space="preserve">simulated intestinal fluid. </w:t>
      </w:r>
      <w:r w:rsidR="00131DD7" w:rsidRPr="00C50026">
        <w:rPr>
          <w:szCs w:val="20"/>
        </w:rPr>
        <w:t xml:space="preserve">Amano Enzyme Inc., </w:t>
      </w:r>
      <w:r w:rsidR="00C50026" w:rsidRPr="00C50026">
        <w:rPr>
          <w:szCs w:val="20"/>
        </w:rPr>
        <w:t>R&amp;D</w:t>
      </w:r>
      <w:r w:rsidRPr="00C50026">
        <w:rPr>
          <w:szCs w:val="20"/>
        </w:rPr>
        <w:t xml:space="preserve"> Department, Gifu </w:t>
      </w:r>
      <w:r w:rsidR="00131DD7" w:rsidRPr="00C50026">
        <w:rPr>
          <w:szCs w:val="20"/>
        </w:rPr>
        <w:t>R</w:t>
      </w:r>
      <w:r w:rsidRPr="00C50026">
        <w:rPr>
          <w:szCs w:val="20"/>
        </w:rPr>
        <w:t xml:space="preserve">esearch </w:t>
      </w:r>
      <w:r w:rsidR="00131DD7" w:rsidRPr="00C50026">
        <w:rPr>
          <w:szCs w:val="20"/>
        </w:rPr>
        <w:t>I</w:t>
      </w:r>
      <w:r w:rsidRPr="00C50026">
        <w:rPr>
          <w:szCs w:val="20"/>
        </w:rPr>
        <w:t>nstitute,</w:t>
      </w:r>
      <w:r w:rsidR="00131DD7" w:rsidRPr="00C50026">
        <w:rPr>
          <w:szCs w:val="20"/>
        </w:rPr>
        <w:t xml:space="preserve"> Japan.</w:t>
      </w:r>
    </w:p>
    <w:p w14:paraId="75C268B0" w14:textId="77777777" w:rsidR="002413F7" w:rsidRPr="00C50026" w:rsidRDefault="002413F7" w:rsidP="00441A23">
      <w:pPr>
        <w:rPr>
          <w:szCs w:val="20"/>
        </w:rPr>
      </w:pPr>
    </w:p>
    <w:p w14:paraId="16C8C64C" w14:textId="1582A198" w:rsidR="00A10881" w:rsidRPr="00C50026" w:rsidRDefault="00A10881" w:rsidP="00441A23">
      <w:pPr>
        <w:rPr>
          <w:szCs w:val="20"/>
        </w:rPr>
      </w:pPr>
      <w:r w:rsidRPr="00C50026">
        <w:rPr>
          <w:szCs w:val="20"/>
        </w:rPr>
        <w:t xml:space="preserve">Codex Alimentarius (2003) Foods derived from Modern Biotechnology. Codex Alimentarius Commission, Joint FAO/WHO Food Standards Programme, Rome. </w:t>
      </w:r>
    </w:p>
    <w:p w14:paraId="13386922" w14:textId="77777777" w:rsidR="00A10881" w:rsidRPr="00C50026" w:rsidRDefault="00A10881" w:rsidP="00441A23">
      <w:pPr>
        <w:rPr>
          <w:szCs w:val="20"/>
        </w:rPr>
      </w:pPr>
    </w:p>
    <w:p w14:paraId="6A197AC0" w14:textId="127D5E31" w:rsidR="00A10881" w:rsidRPr="00C50026" w:rsidRDefault="00A10881" w:rsidP="00441A23">
      <w:pPr>
        <w:rPr>
          <w:szCs w:val="20"/>
        </w:rPr>
      </w:pPr>
      <w:r w:rsidRPr="00C50026">
        <w:rPr>
          <w:szCs w:val="20"/>
        </w:rPr>
        <w:t>Codex Alimentarius (2009) Foods derived from Modern Biotechnology. Codex Alimentarius Commission, Joint FAO/WHO Food Standards Programme, Rome.</w:t>
      </w:r>
    </w:p>
    <w:p w14:paraId="6E93346C" w14:textId="77777777" w:rsidR="00A10881" w:rsidRDefault="00A10881" w:rsidP="00441A23">
      <w:pPr>
        <w:rPr>
          <w:sz w:val="20"/>
          <w:szCs w:val="20"/>
        </w:rPr>
      </w:pPr>
    </w:p>
    <w:p w14:paraId="146365AD" w14:textId="639E86FD" w:rsidR="00441A23" w:rsidRPr="006F237E" w:rsidRDefault="00905784" w:rsidP="00441A23">
      <w:pPr>
        <w:rPr>
          <w:szCs w:val="22"/>
        </w:rPr>
      </w:pPr>
      <w:hyperlink r:id="rId23" w:history="1">
        <w:r w:rsidR="006F237E" w:rsidRPr="006F237E">
          <w:rPr>
            <w:rStyle w:val="Hyperlink"/>
            <w:szCs w:val="22"/>
          </w:rPr>
          <w:t>FAO/WHO (2001) Evaluation of allergenicity of genetically modified foods.</w:t>
        </w:r>
      </w:hyperlink>
      <w:r w:rsidR="00441A23" w:rsidRPr="006F237E">
        <w:rPr>
          <w:szCs w:val="22"/>
        </w:rPr>
        <w:t xml:space="preserve"> Report of a Joint FAO/WHO Expert Consultation on Allergenicity of Foods Derived from Biotechnology, 22–25 January 2001. Rome: Food and Agriculture Organization of the United Nations and World Health Organization Accessed 28 March 2017</w:t>
      </w:r>
    </w:p>
    <w:p w14:paraId="25D261BF" w14:textId="77777777" w:rsidR="00B7353A" w:rsidRDefault="00B7353A" w:rsidP="00B7353A">
      <w:pPr>
        <w:rPr>
          <w:rFonts w:eastAsia="Calibri"/>
          <w:szCs w:val="22"/>
          <w:lang w:bidi="ar-SA"/>
        </w:rPr>
      </w:pPr>
    </w:p>
    <w:p w14:paraId="49B734B6" w14:textId="4254CF20" w:rsidR="00B7353A" w:rsidRPr="006F237E" w:rsidRDefault="00905784" w:rsidP="00B7353A">
      <w:pPr>
        <w:rPr>
          <w:rFonts w:eastAsia="Calibri"/>
          <w:szCs w:val="22"/>
          <w:lang w:bidi="ar-SA"/>
        </w:rPr>
      </w:pPr>
      <w:hyperlink r:id="rId24" w:history="1">
        <w:r w:rsidR="00B7353A">
          <w:rPr>
            <w:rFonts w:eastAsia="Calibri"/>
            <w:color w:val="0000FF"/>
            <w:szCs w:val="22"/>
            <w:u w:val="single"/>
            <w:lang w:bidi="ar-SA"/>
          </w:rPr>
          <w:t>FAO/WHO (2006) General Specifications and Considerations for Enzyme Preparations used in Food Processing.</w:t>
        </w:r>
      </w:hyperlink>
      <w:r w:rsidR="00B7353A" w:rsidRPr="006F237E">
        <w:rPr>
          <w:rFonts w:eastAsia="Calibri"/>
          <w:szCs w:val="22"/>
          <w:lang w:bidi="ar-SA"/>
        </w:rPr>
        <w:t xml:space="preserve"> Accessed 18</w:t>
      </w:r>
      <w:r w:rsidR="00C734DB">
        <w:rPr>
          <w:rFonts w:eastAsia="Calibri"/>
          <w:szCs w:val="22"/>
          <w:lang w:bidi="ar-SA"/>
        </w:rPr>
        <w:t xml:space="preserve"> April </w:t>
      </w:r>
      <w:r w:rsidR="00B7353A" w:rsidRPr="006F237E">
        <w:rPr>
          <w:rFonts w:eastAsia="Calibri"/>
          <w:szCs w:val="22"/>
          <w:lang w:bidi="ar-SA"/>
        </w:rPr>
        <w:t>2017</w:t>
      </w:r>
    </w:p>
    <w:p w14:paraId="11DC8CEB" w14:textId="77777777" w:rsidR="00441A23" w:rsidRPr="006F237E" w:rsidRDefault="00441A23" w:rsidP="00441A23">
      <w:pPr>
        <w:rPr>
          <w:rFonts w:eastAsia="Calibri"/>
          <w:szCs w:val="22"/>
          <w:lang w:bidi="ar-SA"/>
        </w:rPr>
      </w:pPr>
    </w:p>
    <w:p w14:paraId="46441C23" w14:textId="77777777" w:rsidR="00B7353A" w:rsidRPr="006F237E" w:rsidRDefault="00905784" w:rsidP="00B7353A">
      <w:pPr>
        <w:widowControl/>
        <w:rPr>
          <w:rFonts w:eastAsia="Calibri"/>
          <w:sz w:val="20"/>
          <w:szCs w:val="20"/>
          <w:lang w:bidi="ar-SA"/>
        </w:rPr>
      </w:pPr>
      <w:hyperlink r:id="rId25" w:history="1">
        <w:r w:rsidR="00B7353A" w:rsidRPr="006F237E">
          <w:rPr>
            <w:rFonts w:eastAsia="Calibri"/>
            <w:color w:val="0000FF"/>
            <w:szCs w:val="22"/>
            <w:u w:val="single"/>
            <w:lang w:bidi="ar-SA"/>
          </w:rPr>
          <w:t>Food Chemicals Codex</w:t>
        </w:r>
      </w:hyperlink>
      <w:r w:rsidR="00B7353A" w:rsidRPr="006F237E">
        <w:rPr>
          <w:rFonts w:eastAsia="Calibri"/>
          <w:szCs w:val="22"/>
          <w:lang w:bidi="ar-SA"/>
        </w:rPr>
        <w:t xml:space="preserve"> (2014) 9th Edition. The United States Pharmacopeia. United States Pharmacopeial Convention</w:t>
      </w:r>
    </w:p>
    <w:p w14:paraId="351B442F" w14:textId="77777777" w:rsidR="00B7353A" w:rsidRDefault="00B7353A" w:rsidP="00441A23">
      <w:pPr>
        <w:rPr>
          <w:szCs w:val="22"/>
        </w:rPr>
      </w:pPr>
    </w:p>
    <w:p w14:paraId="09CCB097" w14:textId="4A9AC954" w:rsidR="00B7353A" w:rsidRPr="006F237E" w:rsidRDefault="00B7353A" w:rsidP="00B7353A">
      <w:pPr>
        <w:rPr>
          <w:rFonts w:eastAsia="Calibri"/>
          <w:szCs w:val="22"/>
          <w:lang w:bidi="ar-SA"/>
        </w:rPr>
      </w:pPr>
      <w:r w:rsidRPr="006F237E">
        <w:rPr>
          <w:rFonts w:eastAsia="Calibri"/>
          <w:szCs w:val="22"/>
          <w:lang w:bidi="ar-SA"/>
        </w:rPr>
        <w:t xml:space="preserve">Hamada, J.S. (1994) </w:t>
      </w:r>
      <w:hyperlink r:id="rId26" w:history="1">
        <w:r w:rsidRPr="006F237E">
          <w:rPr>
            <w:rFonts w:eastAsia="Calibri"/>
            <w:color w:val="0000FF"/>
            <w:szCs w:val="22"/>
            <w:u w:val="single"/>
            <w:lang w:bidi="ar-SA"/>
          </w:rPr>
          <w:t>Deamidation of food proteins to improve functionality</w:t>
        </w:r>
      </w:hyperlink>
      <w:r w:rsidRPr="006F237E">
        <w:rPr>
          <w:rFonts w:eastAsia="Calibri"/>
          <w:color w:val="FF0000"/>
          <w:szCs w:val="22"/>
          <w:lang w:bidi="ar-SA"/>
        </w:rPr>
        <w:t xml:space="preserve"> </w:t>
      </w:r>
      <w:r w:rsidRPr="006F237E">
        <w:rPr>
          <w:rFonts w:eastAsia="Calibri"/>
          <w:szCs w:val="22"/>
          <w:lang w:bidi="ar-SA"/>
        </w:rPr>
        <w:t xml:space="preserve"> Food Sci. Nutr. 34, 283–292. Accessed 10</w:t>
      </w:r>
      <w:r w:rsidR="00C734DB">
        <w:rPr>
          <w:rFonts w:eastAsia="Calibri"/>
          <w:szCs w:val="22"/>
          <w:lang w:bidi="ar-SA"/>
        </w:rPr>
        <w:t xml:space="preserve"> April </w:t>
      </w:r>
      <w:r w:rsidRPr="006F237E">
        <w:rPr>
          <w:rFonts w:eastAsia="Calibri"/>
          <w:szCs w:val="22"/>
          <w:lang w:bidi="ar-SA"/>
        </w:rPr>
        <w:t>2017</w:t>
      </w:r>
    </w:p>
    <w:p w14:paraId="7CF646E4" w14:textId="77777777" w:rsidR="00B7353A" w:rsidRDefault="00B7353A" w:rsidP="00B7353A">
      <w:pPr>
        <w:rPr>
          <w:szCs w:val="22"/>
        </w:rPr>
      </w:pPr>
    </w:p>
    <w:p w14:paraId="60DB5943" w14:textId="1F46DF6E" w:rsidR="00B7353A" w:rsidRPr="006F237E" w:rsidRDefault="00905784" w:rsidP="00B7353A">
      <w:pPr>
        <w:rPr>
          <w:rFonts w:eastAsia="Calibri"/>
          <w:szCs w:val="22"/>
          <w:lang w:bidi="ar-SA"/>
        </w:rPr>
      </w:pPr>
      <w:hyperlink r:id="rId27" w:history="1">
        <w:r w:rsidR="00B7353A">
          <w:rPr>
            <w:rFonts w:eastAsia="Calibri"/>
            <w:color w:val="0000FF"/>
            <w:szCs w:val="22"/>
            <w:u w:val="single"/>
            <w:lang w:bidi="ar-SA"/>
          </w:rPr>
          <w:t>International Union of Biochemistry and Molecular Biology (IUBMB) Enzyme Nomenclature</w:t>
        </w:r>
      </w:hyperlink>
      <w:r w:rsidR="00B7353A" w:rsidRPr="006F237E">
        <w:rPr>
          <w:rFonts w:eastAsia="Calibri"/>
          <w:szCs w:val="22"/>
          <w:lang w:bidi="ar-SA"/>
        </w:rPr>
        <w:t xml:space="preserve"> (2016) EC 3.5.1.44 </w:t>
      </w:r>
    </w:p>
    <w:p w14:paraId="70A10160" w14:textId="646DECC5" w:rsidR="00B7353A" w:rsidRDefault="00B7353A" w:rsidP="00B7353A">
      <w:pPr>
        <w:widowControl/>
        <w:rPr>
          <w:rFonts w:cs="Arial"/>
          <w:szCs w:val="22"/>
          <w:lang w:val="en" w:eastAsia="en-NZ" w:bidi="ar-SA"/>
        </w:rPr>
      </w:pPr>
    </w:p>
    <w:p w14:paraId="68213208" w14:textId="131B12EB" w:rsidR="00C93C70" w:rsidRDefault="00C97446" w:rsidP="00B7353A">
      <w:pPr>
        <w:widowControl/>
        <w:rPr>
          <w:rFonts w:cs="Arial"/>
          <w:szCs w:val="22"/>
          <w:lang w:val="en" w:eastAsia="en-NZ" w:bidi="ar-SA"/>
        </w:rPr>
      </w:pPr>
      <w:r>
        <w:rPr>
          <w:rFonts w:cs="Arial"/>
          <w:szCs w:val="22"/>
          <w:lang w:val="en" w:eastAsia="en-NZ" w:bidi="ar-SA"/>
        </w:rPr>
        <w:t xml:space="preserve">Petsch D, Anspach FB (2000) </w:t>
      </w:r>
      <w:r w:rsidRPr="00C97446">
        <w:rPr>
          <w:rFonts w:cs="Arial"/>
          <w:szCs w:val="22"/>
          <w:lang w:val="en" w:eastAsia="en-NZ" w:bidi="ar-SA"/>
        </w:rPr>
        <w:t>Endotoxin removal from protein solutions.</w:t>
      </w:r>
      <w:r>
        <w:rPr>
          <w:rFonts w:cs="Arial"/>
          <w:szCs w:val="22"/>
          <w:lang w:val="en" w:eastAsia="en-NZ" w:bidi="ar-SA"/>
        </w:rPr>
        <w:t xml:space="preserve"> Journal of Biotechnology </w:t>
      </w:r>
      <w:r w:rsidRPr="00C97446">
        <w:rPr>
          <w:rFonts w:cs="Arial"/>
          <w:szCs w:val="22"/>
          <w:lang w:val="en" w:eastAsia="en-NZ" w:bidi="ar-SA"/>
        </w:rPr>
        <w:t>76(2-3):97-119</w:t>
      </w:r>
      <w:r>
        <w:rPr>
          <w:rFonts w:cs="Arial"/>
          <w:szCs w:val="22"/>
          <w:lang w:val="en" w:eastAsia="en-NZ" w:bidi="ar-SA"/>
        </w:rPr>
        <w:t xml:space="preserve">. </w:t>
      </w:r>
    </w:p>
    <w:p w14:paraId="5624833C" w14:textId="77777777" w:rsidR="00C93C70" w:rsidRDefault="00C93C70" w:rsidP="00B7353A">
      <w:pPr>
        <w:widowControl/>
        <w:rPr>
          <w:rFonts w:cs="Arial"/>
          <w:szCs w:val="22"/>
          <w:lang w:val="en" w:eastAsia="en-NZ" w:bidi="ar-SA"/>
        </w:rPr>
      </w:pPr>
    </w:p>
    <w:p w14:paraId="7F99D593" w14:textId="43F62CE1" w:rsidR="00B7353A" w:rsidRPr="006F237E" w:rsidRDefault="00B7353A" w:rsidP="00B7353A">
      <w:pPr>
        <w:widowControl/>
        <w:rPr>
          <w:rFonts w:cs="Arial"/>
          <w:szCs w:val="22"/>
          <w:lang w:val="en" w:eastAsia="en-NZ" w:bidi="ar-SA"/>
        </w:rPr>
      </w:pPr>
      <w:r w:rsidRPr="006F237E">
        <w:rPr>
          <w:rFonts w:cs="Arial"/>
          <w:szCs w:val="22"/>
          <w:lang w:val="en" w:eastAsia="en-NZ" w:bidi="ar-SA"/>
        </w:rPr>
        <w:t xml:space="preserve">Shotaro, Y, Masaaki, Y (2000) </w:t>
      </w:r>
      <w:hyperlink r:id="rId28" w:history="1">
        <w:r w:rsidRPr="006F237E">
          <w:rPr>
            <w:rFonts w:cs="Arial"/>
            <w:color w:val="0000FF"/>
            <w:szCs w:val="22"/>
            <w:u w:val="single"/>
            <w:lang w:val="en" w:eastAsia="en-NZ" w:bidi="ar-SA"/>
          </w:rPr>
          <w:t xml:space="preserve">A Novel Protein-Deamidating Enzyme from </w:t>
        </w:r>
        <w:r w:rsidRPr="006F237E">
          <w:rPr>
            <w:rFonts w:cs="Arial"/>
            <w:i/>
            <w:iCs/>
            <w:color w:val="0000FF"/>
            <w:szCs w:val="22"/>
            <w:u w:val="single"/>
            <w:lang w:val="en" w:eastAsia="en-NZ" w:bidi="ar-SA"/>
          </w:rPr>
          <w:t>Chryseobacterium proteolyticum</w:t>
        </w:r>
        <w:r w:rsidRPr="006F237E">
          <w:rPr>
            <w:rFonts w:cs="Arial"/>
            <w:color w:val="0000FF"/>
            <w:szCs w:val="22"/>
            <w:u w:val="single"/>
            <w:lang w:val="en" w:eastAsia="en-NZ" w:bidi="ar-SA"/>
          </w:rPr>
          <w:t xml:space="preserve"> sp. nov., a Newly Isolated Bacterium from Soil</w:t>
        </w:r>
      </w:hyperlink>
      <w:r w:rsidRPr="006F237E">
        <w:rPr>
          <w:rFonts w:cs="Arial"/>
          <w:color w:val="0000FF"/>
          <w:szCs w:val="22"/>
          <w:u w:val="single"/>
          <w:lang w:val="en" w:eastAsia="en-NZ" w:bidi="ar-SA"/>
        </w:rPr>
        <w:t xml:space="preserve"> </w:t>
      </w:r>
      <w:r w:rsidRPr="006F237E">
        <w:rPr>
          <w:rFonts w:cs="Arial"/>
          <w:szCs w:val="22"/>
          <w:lang w:val="en" w:eastAsia="en-NZ" w:bidi="ar-SA"/>
        </w:rPr>
        <w:t>Appl Environ Microbiol. 2000 Aug; 66(8): 3337–3343 PMCID: PMC92152</w:t>
      </w:r>
    </w:p>
    <w:p w14:paraId="3EDACBA8" w14:textId="77777777" w:rsidR="00B7353A" w:rsidRDefault="00B7353A" w:rsidP="00441A23">
      <w:pPr>
        <w:rPr>
          <w:szCs w:val="22"/>
        </w:rPr>
      </w:pPr>
    </w:p>
    <w:p w14:paraId="60F9D913" w14:textId="5C583449" w:rsidR="00441A23" w:rsidRPr="006F237E" w:rsidRDefault="00905784" w:rsidP="00441A23">
      <w:pPr>
        <w:rPr>
          <w:rFonts w:eastAsia="Calibri"/>
          <w:szCs w:val="22"/>
          <w:lang w:bidi="ar-SA"/>
        </w:rPr>
      </w:pPr>
      <w:hyperlink r:id="rId29" w:history="1">
        <w:r w:rsidR="006F237E" w:rsidRPr="006F237E">
          <w:rPr>
            <w:rStyle w:val="Hyperlink"/>
            <w:rFonts w:eastAsia="Calibri"/>
            <w:szCs w:val="22"/>
            <w:lang w:bidi="ar-SA"/>
          </w:rPr>
          <w:t>WHO (2016) Evaluation of certain food additives and contaminants.</w:t>
        </w:r>
      </w:hyperlink>
      <w:r w:rsidR="006F237E" w:rsidRPr="006F237E">
        <w:rPr>
          <w:rFonts w:eastAsia="Calibri"/>
          <w:szCs w:val="22"/>
          <w:lang w:bidi="ar-SA"/>
        </w:rPr>
        <w:t xml:space="preserve"> E</w:t>
      </w:r>
      <w:r w:rsidR="00441A23" w:rsidRPr="006F237E">
        <w:rPr>
          <w:rFonts w:eastAsia="Calibri"/>
          <w:szCs w:val="22"/>
          <w:lang w:bidi="ar-SA"/>
        </w:rPr>
        <w:t xml:space="preserve">ightieth report of the Joint FAO/WHO Expert Committee on Food Additives. WHO technical report series; no. 995. Accessed 28 March 2017 </w:t>
      </w:r>
    </w:p>
    <w:p w14:paraId="168619D1" w14:textId="77777777" w:rsidR="006F237E" w:rsidRPr="006F237E" w:rsidRDefault="006F237E" w:rsidP="006F237E">
      <w:pPr>
        <w:rPr>
          <w:rFonts w:eastAsia="Calibri"/>
          <w:szCs w:val="22"/>
          <w:lang w:bidi="ar-SA"/>
        </w:rPr>
      </w:pPr>
    </w:p>
    <w:p w14:paraId="31992AE3" w14:textId="77777777" w:rsidR="006F237E" w:rsidRPr="006F237E" w:rsidRDefault="006F237E" w:rsidP="006F237E">
      <w:pPr>
        <w:widowControl/>
        <w:rPr>
          <w:rFonts w:eastAsia="Calibri"/>
          <w:szCs w:val="22"/>
          <w:lang w:bidi="ar-SA"/>
        </w:rPr>
      </w:pPr>
      <w:r w:rsidRPr="006F237E">
        <w:rPr>
          <w:rFonts w:eastAsia="Calibri"/>
          <w:szCs w:val="22"/>
          <w:lang w:bidi="ar-SA"/>
        </w:rPr>
        <w:t>Yamaguchi, S, Jeenes, D J, Archer, D B (2001) Protein glutaminase from Chryseobacterium proteolyticum, an enzyme that deamidates glutaminyl residues in proteins. European Journal of Biochemistry, 268: 1410–1421. doi:10.1046/j.1432-1327.2001.02019.x</w:t>
      </w:r>
    </w:p>
    <w:p w14:paraId="5C0F16A3" w14:textId="77777777" w:rsidR="006F237E" w:rsidRPr="006F237E" w:rsidRDefault="006F237E" w:rsidP="006F237E">
      <w:pPr>
        <w:widowControl/>
        <w:rPr>
          <w:rFonts w:eastAsia="Calibri"/>
          <w:szCs w:val="22"/>
          <w:lang w:bidi="ar-SA"/>
        </w:rPr>
      </w:pPr>
    </w:p>
    <w:p w14:paraId="49E452B1" w14:textId="0D015052" w:rsidR="006F237E" w:rsidRPr="006F237E" w:rsidRDefault="006F237E" w:rsidP="006F237E">
      <w:pPr>
        <w:widowControl/>
        <w:rPr>
          <w:rFonts w:eastAsia="Calibri"/>
          <w:szCs w:val="22"/>
          <w:lang w:bidi="ar-SA"/>
        </w:rPr>
      </w:pPr>
      <w:r w:rsidRPr="006F237E">
        <w:rPr>
          <w:rFonts w:eastAsia="Calibri"/>
          <w:iCs/>
          <w:szCs w:val="22"/>
          <w:lang w:val="en" w:bidi="ar-SA"/>
        </w:rPr>
        <w:t xml:space="preserve">Yi-Ran Li, Ting-Ting Yun, Shan Liu, Wen-Tao Qi, Li-Qin Zhao, Jia-Ren Liu, Ai-Ke Li (2016) </w:t>
      </w:r>
      <w:hyperlink r:id="rId30" w:history="1">
        <w:r w:rsidRPr="006F237E">
          <w:rPr>
            <w:rFonts w:eastAsia="Calibri"/>
            <w:iCs/>
            <w:color w:val="0000FF"/>
            <w:szCs w:val="22"/>
            <w:u w:val="single"/>
            <w:lang w:val="en" w:bidi="ar-SA"/>
          </w:rPr>
          <w:t>Analysis of water-soluble bioactive compounds in commonly consumed soymilk in China</w:t>
        </w:r>
      </w:hyperlink>
      <w:r w:rsidRPr="006F237E">
        <w:rPr>
          <w:rFonts w:eastAsia="Calibri"/>
          <w:iCs/>
          <w:szCs w:val="22"/>
          <w:lang w:val="en" w:bidi="ar-SA"/>
        </w:rPr>
        <w:t>, Journal of Food Composition and Analysis, 2016, 46, 29. Accessed 12</w:t>
      </w:r>
      <w:r w:rsidR="00C734DB">
        <w:rPr>
          <w:rFonts w:eastAsia="Calibri"/>
          <w:iCs/>
          <w:szCs w:val="22"/>
          <w:lang w:val="en" w:bidi="ar-SA"/>
        </w:rPr>
        <w:t xml:space="preserve"> </w:t>
      </w:r>
      <w:r w:rsidR="00CA72EC">
        <w:rPr>
          <w:rFonts w:eastAsia="Calibri"/>
          <w:iCs/>
          <w:szCs w:val="22"/>
          <w:lang w:val="en" w:bidi="ar-SA"/>
        </w:rPr>
        <w:t>April 2017</w:t>
      </w:r>
    </w:p>
    <w:p w14:paraId="56340CBD" w14:textId="0F7BCADF" w:rsidR="006F237E" w:rsidRPr="00E203C2" w:rsidRDefault="006F237E" w:rsidP="00690206"/>
    <w:sectPr w:rsidR="006F237E"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11DAC" w14:textId="77777777" w:rsidR="00A675F0" w:rsidRDefault="00A675F0">
      <w:r>
        <w:separator/>
      </w:r>
    </w:p>
  </w:endnote>
  <w:endnote w:type="continuationSeparator" w:id="0">
    <w:p w14:paraId="60E56E7E" w14:textId="77777777" w:rsidR="00A675F0" w:rsidRDefault="00A675F0">
      <w:r>
        <w:continuationSeparator/>
      </w:r>
    </w:p>
  </w:endnote>
  <w:endnote w:type="continuationNotice" w:id="1">
    <w:p w14:paraId="3755DCB6" w14:textId="77777777" w:rsidR="00A675F0" w:rsidRDefault="00A6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D72A" w14:textId="77777777" w:rsidR="00A675F0" w:rsidRDefault="00A675F0" w:rsidP="001C27A3">
    <w:pPr>
      <w:framePr w:wrap="around" w:vAnchor="text" w:hAnchor="margin" w:xAlign="center" w:y="1"/>
    </w:pPr>
    <w:r>
      <w:fldChar w:fldCharType="begin"/>
    </w:r>
    <w:r>
      <w:instrText xml:space="preserve">PAGE  </w:instrText>
    </w:r>
    <w:r>
      <w:fldChar w:fldCharType="end"/>
    </w:r>
  </w:p>
  <w:p w14:paraId="46A040FF" w14:textId="77777777" w:rsidR="00A675F0" w:rsidRDefault="00A675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4C32" w14:textId="0BBFD705" w:rsidR="00A675F0" w:rsidRDefault="00A675F0" w:rsidP="001C27A3">
    <w:pPr>
      <w:framePr w:wrap="around" w:vAnchor="text" w:hAnchor="margin" w:xAlign="center" w:y="1"/>
    </w:pPr>
    <w:r>
      <w:fldChar w:fldCharType="begin"/>
    </w:r>
    <w:r>
      <w:instrText xml:space="preserve">PAGE  </w:instrText>
    </w:r>
    <w:r>
      <w:fldChar w:fldCharType="separate"/>
    </w:r>
    <w:r w:rsidR="00905784">
      <w:rPr>
        <w:noProof/>
      </w:rPr>
      <w:t>i</w:t>
    </w:r>
    <w:r>
      <w:fldChar w:fldCharType="end"/>
    </w:r>
  </w:p>
  <w:p w14:paraId="1190C686" w14:textId="77777777" w:rsidR="00A675F0" w:rsidRDefault="00A675F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1CDD" w14:textId="77777777" w:rsidR="00A675F0" w:rsidRDefault="00A675F0">
      <w:r>
        <w:separator/>
      </w:r>
    </w:p>
  </w:footnote>
  <w:footnote w:type="continuationSeparator" w:id="0">
    <w:p w14:paraId="10C3064F" w14:textId="77777777" w:rsidR="00A675F0" w:rsidRDefault="00A675F0">
      <w:r>
        <w:continuationSeparator/>
      </w:r>
    </w:p>
  </w:footnote>
  <w:footnote w:type="continuationNotice" w:id="1">
    <w:p w14:paraId="35359176" w14:textId="77777777" w:rsidR="00A675F0" w:rsidRDefault="00A675F0"/>
  </w:footnote>
  <w:footnote w:id="2">
    <w:p w14:paraId="1BD69F1B" w14:textId="77777777" w:rsidR="00A675F0" w:rsidRPr="00264CBC" w:rsidRDefault="00A675F0" w:rsidP="006B4015">
      <w:pPr>
        <w:pStyle w:val="FootnoteText"/>
        <w:rPr>
          <w:lang w:val="en-AU"/>
        </w:rPr>
      </w:pPr>
      <w:r>
        <w:rPr>
          <w:rStyle w:val="FootnoteReference"/>
        </w:rPr>
        <w:footnoteRef/>
      </w:r>
      <w:r>
        <w:t xml:space="preserve"> </w:t>
      </w:r>
      <w:r w:rsidRPr="00264CBC">
        <w:t>International Union of Biochemistry and Molecular Biology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CB07" w14:textId="77777777" w:rsidR="00A675F0" w:rsidRDefault="00A675F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0"/>
  <w:activeWritingStyle w:appName="MSWord" w:lang="en-NZ"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7F1"/>
    <w:rsid w:val="00001CF2"/>
    <w:rsid w:val="0000247B"/>
    <w:rsid w:val="0000469B"/>
    <w:rsid w:val="00010E94"/>
    <w:rsid w:val="00016C48"/>
    <w:rsid w:val="0002704C"/>
    <w:rsid w:val="0003206B"/>
    <w:rsid w:val="00035FF3"/>
    <w:rsid w:val="00036AE9"/>
    <w:rsid w:val="00045E78"/>
    <w:rsid w:val="0005041B"/>
    <w:rsid w:val="00051021"/>
    <w:rsid w:val="00051ED9"/>
    <w:rsid w:val="00052C28"/>
    <w:rsid w:val="0005372F"/>
    <w:rsid w:val="00057181"/>
    <w:rsid w:val="00057186"/>
    <w:rsid w:val="00057B2B"/>
    <w:rsid w:val="00060CE9"/>
    <w:rsid w:val="000617F7"/>
    <w:rsid w:val="000631CE"/>
    <w:rsid w:val="0006473A"/>
    <w:rsid w:val="00064B2D"/>
    <w:rsid w:val="0006512F"/>
    <w:rsid w:val="00065F1F"/>
    <w:rsid w:val="00076BE0"/>
    <w:rsid w:val="00076D33"/>
    <w:rsid w:val="000776D0"/>
    <w:rsid w:val="00077FAC"/>
    <w:rsid w:val="00092CDA"/>
    <w:rsid w:val="00093237"/>
    <w:rsid w:val="000944F5"/>
    <w:rsid w:val="000A27E9"/>
    <w:rsid w:val="000A34BA"/>
    <w:rsid w:val="000A3D8B"/>
    <w:rsid w:val="000A5DF8"/>
    <w:rsid w:val="000B4CC6"/>
    <w:rsid w:val="000B6AF2"/>
    <w:rsid w:val="000C3224"/>
    <w:rsid w:val="000D1963"/>
    <w:rsid w:val="000D6FD4"/>
    <w:rsid w:val="000E0AE4"/>
    <w:rsid w:val="000E223D"/>
    <w:rsid w:val="000E3DBC"/>
    <w:rsid w:val="000E7DF2"/>
    <w:rsid w:val="00113CE3"/>
    <w:rsid w:val="00114E1D"/>
    <w:rsid w:val="00117522"/>
    <w:rsid w:val="00117EA7"/>
    <w:rsid w:val="00121721"/>
    <w:rsid w:val="001259DD"/>
    <w:rsid w:val="00131DD7"/>
    <w:rsid w:val="00150047"/>
    <w:rsid w:val="001520DE"/>
    <w:rsid w:val="001542D8"/>
    <w:rsid w:val="00172511"/>
    <w:rsid w:val="00174D3F"/>
    <w:rsid w:val="001756E5"/>
    <w:rsid w:val="001802BF"/>
    <w:rsid w:val="00180C41"/>
    <w:rsid w:val="00182C4C"/>
    <w:rsid w:val="00197D8D"/>
    <w:rsid w:val="001A1A75"/>
    <w:rsid w:val="001A7E9A"/>
    <w:rsid w:val="001B532A"/>
    <w:rsid w:val="001C1FA0"/>
    <w:rsid w:val="001C27A3"/>
    <w:rsid w:val="001C5295"/>
    <w:rsid w:val="001E09FA"/>
    <w:rsid w:val="001E2390"/>
    <w:rsid w:val="001E6315"/>
    <w:rsid w:val="001F05E4"/>
    <w:rsid w:val="00203540"/>
    <w:rsid w:val="0021612B"/>
    <w:rsid w:val="00216255"/>
    <w:rsid w:val="0022083A"/>
    <w:rsid w:val="00221D07"/>
    <w:rsid w:val="00227E4A"/>
    <w:rsid w:val="00230DE5"/>
    <w:rsid w:val="00232E37"/>
    <w:rsid w:val="00233044"/>
    <w:rsid w:val="00234E62"/>
    <w:rsid w:val="00236F19"/>
    <w:rsid w:val="002413F7"/>
    <w:rsid w:val="00244F41"/>
    <w:rsid w:val="0024582E"/>
    <w:rsid w:val="00245C56"/>
    <w:rsid w:val="002547EF"/>
    <w:rsid w:val="00256D65"/>
    <w:rsid w:val="00271F00"/>
    <w:rsid w:val="00273A80"/>
    <w:rsid w:val="00284194"/>
    <w:rsid w:val="0028771F"/>
    <w:rsid w:val="0029142F"/>
    <w:rsid w:val="0029204E"/>
    <w:rsid w:val="00293AA2"/>
    <w:rsid w:val="00295CB3"/>
    <w:rsid w:val="0029631C"/>
    <w:rsid w:val="002966AB"/>
    <w:rsid w:val="002A0194"/>
    <w:rsid w:val="002A3314"/>
    <w:rsid w:val="002A5F8B"/>
    <w:rsid w:val="002A7F6C"/>
    <w:rsid w:val="002B1011"/>
    <w:rsid w:val="002B45C8"/>
    <w:rsid w:val="002B6398"/>
    <w:rsid w:val="002D571A"/>
    <w:rsid w:val="002D6809"/>
    <w:rsid w:val="002F6488"/>
    <w:rsid w:val="003141E6"/>
    <w:rsid w:val="00320839"/>
    <w:rsid w:val="003213F9"/>
    <w:rsid w:val="00323643"/>
    <w:rsid w:val="00323DBF"/>
    <w:rsid w:val="00325168"/>
    <w:rsid w:val="00326D85"/>
    <w:rsid w:val="003309A8"/>
    <w:rsid w:val="00332B12"/>
    <w:rsid w:val="00335455"/>
    <w:rsid w:val="00347212"/>
    <w:rsid w:val="0035090B"/>
    <w:rsid w:val="00351B07"/>
    <w:rsid w:val="00352CF2"/>
    <w:rsid w:val="00361C4D"/>
    <w:rsid w:val="00361F29"/>
    <w:rsid w:val="00364841"/>
    <w:rsid w:val="00367E55"/>
    <w:rsid w:val="00371B29"/>
    <w:rsid w:val="003730D5"/>
    <w:rsid w:val="0037656B"/>
    <w:rsid w:val="00386537"/>
    <w:rsid w:val="00391769"/>
    <w:rsid w:val="00392E99"/>
    <w:rsid w:val="003953E1"/>
    <w:rsid w:val="003956B3"/>
    <w:rsid w:val="003960F9"/>
    <w:rsid w:val="00397B34"/>
    <w:rsid w:val="003A1642"/>
    <w:rsid w:val="003A68BE"/>
    <w:rsid w:val="003A7439"/>
    <w:rsid w:val="003B0587"/>
    <w:rsid w:val="003B0E3C"/>
    <w:rsid w:val="003B1805"/>
    <w:rsid w:val="003B3C9D"/>
    <w:rsid w:val="003B78E0"/>
    <w:rsid w:val="003B7C7E"/>
    <w:rsid w:val="003C1BC8"/>
    <w:rsid w:val="003C485F"/>
    <w:rsid w:val="003C4969"/>
    <w:rsid w:val="003D3241"/>
    <w:rsid w:val="003E41D5"/>
    <w:rsid w:val="003E46BA"/>
    <w:rsid w:val="003E5EB5"/>
    <w:rsid w:val="003E7D22"/>
    <w:rsid w:val="003F09CE"/>
    <w:rsid w:val="003F74C1"/>
    <w:rsid w:val="00405B1A"/>
    <w:rsid w:val="00410C76"/>
    <w:rsid w:val="00411907"/>
    <w:rsid w:val="00413CA8"/>
    <w:rsid w:val="00417EE3"/>
    <w:rsid w:val="004207EB"/>
    <w:rsid w:val="00432E71"/>
    <w:rsid w:val="00437276"/>
    <w:rsid w:val="00441A23"/>
    <w:rsid w:val="00455750"/>
    <w:rsid w:val="00456B54"/>
    <w:rsid w:val="00464643"/>
    <w:rsid w:val="00465CA7"/>
    <w:rsid w:val="00467531"/>
    <w:rsid w:val="0047125D"/>
    <w:rsid w:val="004736EA"/>
    <w:rsid w:val="00475AB8"/>
    <w:rsid w:val="004803A0"/>
    <w:rsid w:val="00486793"/>
    <w:rsid w:val="00486F59"/>
    <w:rsid w:val="004A0BC3"/>
    <w:rsid w:val="004A2037"/>
    <w:rsid w:val="004A74AE"/>
    <w:rsid w:val="004C2CE7"/>
    <w:rsid w:val="004D223E"/>
    <w:rsid w:val="004D6F6A"/>
    <w:rsid w:val="004E0658"/>
    <w:rsid w:val="004E22A4"/>
    <w:rsid w:val="004F4F98"/>
    <w:rsid w:val="004F69F6"/>
    <w:rsid w:val="004F79AC"/>
    <w:rsid w:val="005017CF"/>
    <w:rsid w:val="00503F31"/>
    <w:rsid w:val="0050409A"/>
    <w:rsid w:val="0050435B"/>
    <w:rsid w:val="00506747"/>
    <w:rsid w:val="00506EEA"/>
    <w:rsid w:val="00507478"/>
    <w:rsid w:val="00512063"/>
    <w:rsid w:val="00512F83"/>
    <w:rsid w:val="005207D8"/>
    <w:rsid w:val="005252D1"/>
    <w:rsid w:val="00526388"/>
    <w:rsid w:val="00526EF2"/>
    <w:rsid w:val="00527274"/>
    <w:rsid w:val="0053464E"/>
    <w:rsid w:val="00541046"/>
    <w:rsid w:val="0054272D"/>
    <w:rsid w:val="005505DC"/>
    <w:rsid w:val="00562917"/>
    <w:rsid w:val="0056765A"/>
    <w:rsid w:val="0057615C"/>
    <w:rsid w:val="005843BB"/>
    <w:rsid w:val="00586228"/>
    <w:rsid w:val="005966A6"/>
    <w:rsid w:val="005A1D97"/>
    <w:rsid w:val="005A266D"/>
    <w:rsid w:val="005A58F3"/>
    <w:rsid w:val="005B37D7"/>
    <w:rsid w:val="005B6AF4"/>
    <w:rsid w:val="005B7A73"/>
    <w:rsid w:val="005C04CB"/>
    <w:rsid w:val="005C2CA0"/>
    <w:rsid w:val="005C5BCC"/>
    <w:rsid w:val="005C61C9"/>
    <w:rsid w:val="005C7CA8"/>
    <w:rsid w:val="005D16AD"/>
    <w:rsid w:val="005D3FF3"/>
    <w:rsid w:val="005D72E1"/>
    <w:rsid w:val="005E2F3F"/>
    <w:rsid w:val="005E6E16"/>
    <w:rsid w:val="005E7F6D"/>
    <w:rsid w:val="005F0BFA"/>
    <w:rsid w:val="005F400E"/>
    <w:rsid w:val="005F7342"/>
    <w:rsid w:val="00603A08"/>
    <w:rsid w:val="00610A3C"/>
    <w:rsid w:val="00613479"/>
    <w:rsid w:val="00627F48"/>
    <w:rsid w:val="00630C23"/>
    <w:rsid w:val="00630E81"/>
    <w:rsid w:val="006340A9"/>
    <w:rsid w:val="006460AB"/>
    <w:rsid w:val="00650E78"/>
    <w:rsid w:val="0065561A"/>
    <w:rsid w:val="006570B1"/>
    <w:rsid w:val="00660A53"/>
    <w:rsid w:val="00663FCF"/>
    <w:rsid w:val="006652A2"/>
    <w:rsid w:val="00666450"/>
    <w:rsid w:val="00673138"/>
    <w:rsid w:val="0067707D"/>
    <w:rsid w:val="006775A7"/>
    <w:rsid w:val="0068076A"/>
    <w:rsid w:val="00683F93"/>
    <w:rsid w:val="00690206"/>
    <w:rsid w:val="006937FF"/>
    <w:rsid w:val="0069418B"/>
    <w:rsid w:val="006A4506"/>
    <w:rsid w:val="006A48A7"/>
    <w:rsid w:val="006A6427"/>
    <w:rsid w:val="006A726E"/>
    <w:rsid w:val="006B176E"/>
    <w:rsid w:val="006B3B77"/>
    <w:rsid w:val="006B4015"/>
    <w:rsid w:val="006B4BA1"/>
    <w:rsid w:val="006B5EBE"/>
    <w:rsid w:val="006C5CF5"/>
    <w:rsid w:val="006C6646"/>
    <w:rsid w:val="006D02E2"/>
    <w:rsid w:val="006E1484"/>
    <w:rsid w:val="006E25A8"/>
    <w:rsid w:val="006E614A"/>
    <w:rsid w:val="006F08E7"/>
    <w:rsid w:val="006F237E"/>
    <w:rsid w:val="006F4A82"/>
    <w:rsid w:val="007019B8"/>
    <w:rsid w:val="0070373B"/>
    <w:rsid w:val="00710A43"/>
    <w:rsid w:val="007118FE"/>
    <w:rsid w:val="00724FA4"/>
    <w:rsid w:val="00726584"/>
    <w:rsid w:val="0073048B"/>
    <w:rsid w:val="00730800"/>
    <w:rsid w:val="007329F4"/>
    <w:rsid w:val="00737591"/>
    <w:rsid w:val="00745161"/>
    <w:rsid w:val="00747CA6"/>
    <w:rsid w:val="007602AA"/>
    <w:rsid w:val="00762010"/>
    <w:rsid w:val="0076485E"/>
    <w:rsid w:val="007652EF"/>
    <w:rsid w:val="00772A5D"/>
    <w:rsid w:val="00772BDC"/>
    <w:rsid w:val="00780792"/>
    <w:rsid w:val="00785C8F"/>
    <w:rsid w:val="007874FF"/>
    <w:rsid w:val="00793B16"/>
    <w:rsid w:val="007943CA"/>
    <w:rsid w:val="00795662"/>
    <w:rsid w:val="00796562"/>
    <w:rsid w:val="007A1055"/>
    <w:rsid w:val="007A44B4"/>
    <w:rsid w:val="007A7C0B"/>
    <w:rsid w:val="007A7D3D"/>
    <w:rsid w:val="007B0C69"/>
    <w:rsid w:val="007B225D"/>
    <w:rsid w:val="007C174F"/>
    <w:rsid w:val="007C1C64"/>
    <w:rsid w:val="007C5F63"/>
    <w:rsid w:val="007C6A86"/>
    <w:rsid w:val="007D03EA"/>
    <w:rsid w:val="007D3C8D"/>
    <w:rsid w:val="007E164C"/>
    <w:rsid w:val="007E48BC"/>
    <w:rsid w:val="007E79F7"/>
    <w:rsid w:val="007F2BE5"/>
    <w:rsid w:val="007F3630"/>
    <w:rsid w:val="007F646A"/>
    <w:rsid w:val="007F6F35"/>
    <w:rsid w:val="007F7A49"/>
    <w:rsid w:val="007F7C22"/>
    <w:rsid w:val="00803A94"/>
    <w:rsid w:val="00807559"/>
    <w:rsid w:val="00815129"/>
    <w:rsid w:val="00837333"/>
    <w:rsid w:val="00843CD1"/>
    <w:rsid w:val="008450BC"/>
    <w:rsid w:val="0085298D"/>
    <w:rsid w:val="0085334B"/>
    <w:rsid w:val="00854B91"/>
    <w:rsid w:val="00856685"/>
    <w:rsid w:val="00857CD5"/>
    <w:rsid w:val="008652DC"/>
    <w:rsid w:val="00870214"/>
    <w:rsid w:val="00880A2D"/>
    <w:rsid w:val="00885C51"/>
    <w:rsid w:val="00885EB0"/>
    <w:rsid w:val="00885F63"/>
    <w:rsid w:val="00891F4B"/>
    <w:rsid w:val="0089264A"/>
    <w:rsid w:val="00893120"/>
    <w:rsid w:val="00895F81"/>
    <w:rsid w:val="00896B85"/>
    <w:rsid w:val="008974FB"/>
    <w:rsid w:val="008A22BE"/>
    <w:rsid w:val="008B6408"/>
    <w:rsid w:val="008C1B36"/>
    <w:rsid w:val="008C3B4E"/>
    <w:rsid w:val="008C3F36"/>
    <w:rsid w:val="008D06C6"/>
    <w:rsid w:val="008D178E"/>
    <w:rsid w:val="008D3447"/>
    <w:rsid w:val="008E6250"/>
    <w:rsid w:val="008F7B07"/>
    <w:rsid w:val="00902AF6"/>
    <w:rsid w:val="00905784"/>
    <w:rsid w:val="00920249"/>
    <w:rsid w:val="009207A3"/>
    <w:rsid w:val="00924C80"/>
    <w:rsid w:val="0092626C"/>
    <w:rsid w:val="0093219E"/>
    <w:rsid w:val="00932F14"/>
    <w:rsid w:val="009373C5"/>
    <w:rsid w:val="00937544"/>
    <w:rsid w:val="0094247F"/>
    <w:rsid w:val="00942D60"/>
    <w:rsid w:val="00945537"/>
    <w:rsid w:val="009506B6"/>
    <w:rsid w:val="0095189C"/>
    <w:rsid w:val="00954B18"/>
    <w:rsid w:val="009579BF"/>
    <w:rsid w:val="009637A7"/>
    <w:rsid w:val="0096523B"/>
    <w:rsid w:val="00966EE3"/>
    <w:rsid w:val="00972450"/>
    <w:rsid w:val="00972D06"/>
    <w:rsid w:val="00976FE0"/>
    <w:rsid w:val="009811E3"/>
    <w:rsid w:val="009867C8"/>
    <w:rsid w:val="0099565E"/>
    <w:rsid w:val="00997A5C"/>
    <w:rsid w:val="009A10F3"/>
    <w:rsid w:val="009A391C"/>
    <w:rsid w:val="009A50F2"/>
    <w:rsid w:val="009A6C74"/>
    <w:rsid w:val="009B0498"/>
    <w:rsid w:val="009B494E"/>
    <w:rsid w:val="009B7560"/>
    <w:rsid w:val="009C01DF"/>
    <w:rsid w:val="009C0E4F"/>
    <w:rsid w:val="009D1F29"/>
    <w:rsid w:val="009E0A61"/>
    <w:rsid w:val="009E3010"/>
    <w:rsid w:val="009E764B"/>
    <w:rsid w:val="009F007E"/>
    <w:rsid w:val="009F67A1"/>
    <w:rsid w:val="009F7065"/>
    <w:rsid w:val="009F7B06"/>
    <w:rsid w:val="00A10881"/>
    <w:rsid w:val="00A17B41"/>
    <w:rsid w:val="00A206A6"/>
    <w:rsid w:val="00A30510"/>
    <w:rsid w:val="00A33A53"/>
    <w:rsid w:val="00A4175D"/>
    <w:rsid w:val="00A445A8"/>
    <w:rsid w:val="00A53C98"/>
    <w:rsid w:val="00A56DC7"/>
    <w:rsid w:val="00A675F0"/>
    <w:rsid w:val="00A746D1"/>
    <w:rsid w:val="00A74FD1"/>
    <w:rsid w:val="00A77BFA"/>
    <w:rsid w:val="00A84A58"/>
    <w:rsid w:val="00A87FB5"/>
    <w:rsid w:val="00A93587"/>
    <w:rsid w:val="00AC7E21"/>
    <w:rsid w:val="00AE6C9D"/>
    <w:rsid w:val="00AE73B6"/>
    <w:rsid w:val="00AF02B9"/>
    <w:rsid w:val="00AF06FC"/>
    <w:rsid w:val="00AF0E63"/>
    <w:rsid w:val="00AF2840"/>
    <w:rsid w:val="00AF3391"/>
    <w:rsid w:val="00AF387F"/>
    <w:rsid w:val="00B00E7F"/>
    <w:rsid w:val="00B07DD7"/>
    <w:rsid w:val="00B12D13"/>
    <w:rsid w:val="00B12F1E"/>
    <w:rsid w:val="00B173DA"/>
    <w:rsid w:val="00B21DCC"/>
    <w:rsid w:val="00B25F37"/>
    <w:rsid w:val="00B27CDB"/>
    <w:rsid w:val="00B363B9"/>
    <w:rsid w:val="00B37BF0"/>
    <w:rsid w:val="00B37DB4"/>
    <w:rsid w:val="00B44422"/>
    <w:rsid w:val="00B46EA0"/>
    <w:rsid w:val="00B519FC"/>
    <w:rsid w:val="00B6440B"/>
    <w:rsid w:val="00B731D3"/>
    <w:rsid w:val="00B7353A"/>
    <w:rsid w:val="00B75A89"/>
    <w:rsid w:val="00B813CF"/>
    <w:rsid w:val="00B839A3"/>
    <w:rsid w:val="00B85F37"/>
    <w:rsid w:val="00B86610"/>
    <w:rsid w:val="00B902BD"/>
    <w:rsid w:val="00B96BBB"/>
    <w:rsid w:val="00BA0771"/>
    <w:rsid w:val="00BA24E2"/>
    <w:rsid w:val="00BA2CB4"/>
    <w:rsid w:val="00BA4C78"/>
    <w:rsid w:val="00BA5935"/>
    <w:rsid w:val="00BB0072"/>
    <w:rsid w:val="00BC29E0"/>
    <w:rsid w:val="00BC415D"/>
    <w:rsid w:val="00BC7C71"/>
    <w:rsid w:val="00BD2A39"/>
    <w:rsid w:val="00BD2E80"/>
    <w:rsid w:val="00BE11B8"/>
    <w:rsid w:val="00BE12D5"/>
    <w:rsid w:val="00BE509D"/>
    <w:rsid w:val="00BF7FF0"/>
    <w:rsid w:val="00C057F4"/>
    <w:rsid w:val="00C12502"/>
    <w:rsid w:val="00C143C7"/>
    <w:rsid w:val="00C15EA7"/>
    <w:rsid w:val="00C16B67"/>
    <w:rsid w:val="00C214D2"/>
    <w:rsid w:val="00C24DC7"/>
    <w:rsid w:val="00C329D9"/>
    <w:rsid w:val="00C36578"/>
    <w:rsid w:val="00C36EF6"/>
    <w:rsid w:val="00C40AA5"/>
    <w:rsid w:val="00C46F70"/>
    <w:rsid w:val="00C476D0"/>
    <w:rsid w:val="00C50026"/>
    <w:rsid w:val="00C53234"/>
    <w:rsid w:val="00C54037"/>
    <w:rsid w:val="00C5495C"/>
    <w:rsid w:val="00C55BD8"/>
    <w:rsid w:val="00C61AC1"/>
    <w:rsid w:val="00C63305"/>
    <w:rsid w:val="00C734DB"/>
    <w:rsid w:val="00C836E3"/>
    <w:rsid w:val="00C86577"/>
    <w:rsid w:val="00C87032"/>
    <w:rsid w:val="00C92E07"/>
    <w:rsid w:val="00C93C70"/>
    <w:rsid w:val="00C94B26"/>
    <w:rsid w:val="00C96868"/>
    <w:rsid w:val="00C97446"/>
    <w:rsid w:val="00CA0416"/>
    <w:rsid w:val="00CA4009"/>
    <w:rsid w:val="00CA641D"/>
    <w:rsid w:val="00CA72EC"/>
    <w:rsid w:val="00CA79A6"/>
    <w:rsid w:val="00CB6FE4"/>
    <w:rsid w:val="00CC560B"/>
    <w:rsid w:val="00CC75E2"/>
    <w:rsid w:val="00CC788B"/>
    <w:rsid w:val="00CD0544"/>
    <w:rsid w:val="00CD46EB"/>
    <w:rsid w:val="00CD7EBF"/>
    <w:rsid w:val="00CE31A1"/>
    <w:rsid w:val="00CE426E"/>
    <w:rsid w:val="00CF0D49"/>
    <w:rsid w:val="00CF2ACD"/>
    <w:rsid w:val="00CF6A23"/>
    <w:rsid w:val="00CF705A"/>
    <w:rsid w:val="00D03EED"/>
    <w:rsid w:val="00D056F1"/>
    <w:rsid w:val="00D06853"/>
    <w:rsid w:val="00D11171"/>
    <w:rsid w:val="00D13D1E"/>
    <w:rsid w:val="00D14142"/>
    <w:rsid w:val="00D21278"/>
    <w:rsid w:val="00D22F3C"/>
    <w:rsid w:val="00D23444"/>
    <w:rsid w:val="00D23DB6"/>
    <w:rsid w:val="00D33A41"/>
    <w:rsid w:val="00D370C2"/>
    <w:rsid w:val="00D42B0C"/>
    <w:rsid w:val="00D43FE6"/>
    <w:rsid w:val="00D51A95"/>
    <w:rsid w:val="00D60194"/>
    <w:rsid w:val="00D60568"/>
    <w:rsid w:val="00D70C7A"/>
    <w:rsid w:val="00D748A0"/>
    <w:rsid w:val="00D75526"/>
    <w:rsid w:val="00D81D38"/>
    <w:rsid w:val="00D86998"/>
    <w:rsid w:val="00D93C14"/>
    <w:rsid w:val="00D9620E"/>
    <w:rsid w:val="00D965B5"/>
    <w:rsid w:val="00DA10A8"/>
    <w:rsid w:val="00DA553E"/>
    <w:rsid w:val="00DA7BBF"/>
    <w:rsid w:val="00DB1E08"/>
    <w:rsid w:val="00DB2973"/>
    <w:rsid w:val="00DC1B56"/>
    <w:rsid w:val="00DC2129"/>
    <w:rsid w:val="00DC4D6B"/>
    <w:rsid w:val="00DC563E"/>
    <w:rsid w:val="00DC6570"/>
    <w:rsid w:val="00DD3C5E"/>
    <w:rsid w:val="00DE37A8"/>
    <w:rsid w:val="00DE41B8"/>
    <w:rsid w:val="00DF25C3"/>
    <w:rsid w:val="00DF388B"/>
    <w:rsid w:val="00E04062"/>
    <w:rsid w:val="00E063C6"/>
    <w:rsid w:val="00E066BA"/>
    <w:rsid w:val="00E06CE5"/>
    <w:rsid w:val="00E10317"/>
    <w:rsid w:val="00E17ACC"/>
    <w:rsid w:val="00E2003B"/>
    <w:rsid w:val="00E203C2"/>
    <w:rsid w:val="00E208E2"/>
    <w:rsid w:val="00E220F5"/>
    <w:rsid w:val="00E2391D"/>
    <w:rsid w:val="00E24DF5"/>
    <w:rsid w:val="00E279D8"/>
    <w:rsid w:val="00E319B1"/>
    <w:rsid w:val="00E4292F"/>
    <w:rsid w:val="00E44E0D"/>
    <w:rsid w:val="00E5492F"/>
    <w:rsid w:val="00E554BB"/>
    <w:rsid w:val="00E5633A"/>
    <w:rsid w:val="00E56391"/>
    <w:rsid w:val="00E62DEF"/>
    <w:rsid w:val="00E65C25"/>
    <w:rsid w:val="00E70A86"/>
    <w:rsid w:val="00E755B9"/>
    <w:rsid w:val="00E777EC"/>
    <w:rsid w:val="00E80FCD"/>
    <w:rsid w:val="00E826AF"/>
    <w:rsid w:val="00E839F6"/>
    <w:rsid w:val="00E87241"/>
    <w:rsid w:val="00E90415"/>
    <w:rsid w:val="00E93E7A"/>
    <w:rsid w:val="00EA0DC4"/>
    <w:rsid w:val="00EA7F2F"/>
    <w:rsid w:val="00EB7297"/>
    <w:rsid w:val="00EB759E"/>
    <w:rsid w:val="00EC00DE"/>
    <w:rsid w:val="00EC30E1"/>
    <w:rsid w:val="00ED172A"/>
    <w:rsid w:val="00EE5CCF"/>
    <w:rsid w:val="00EE5FA9"/>
    <w:rsid w:val="00EF537E"/>
    <w:rsid w:val="00F00B9F"/>
    <w:rsid w:val="00F0170D"/>
    <w:rsid w:val="00F01D08"/>
    <w:rsid w:val="00F03E93"/>
    <w:rsid w:val="00F0649E"/>
    <w:rsid w:val="00F11F6C"/>
    <w:rsid w:val="00F14BEC"/>
    <w:rsid w:val="00F1643C"/>
    <w:rsid w:val="00F16865"/>
    <w:rsid w:val="00F17ACA"/>
    <w:rsid w:val="00F225C5"/>
    <w:rsid w:val="00F2587A"/>
    <w:rsid w:val="00F31D43"/>
    <w:rsid w:val="00F3542C"/>
    <w:rsid w:val="00F3715D"/>
    <w:rsid w:val="00F420C8"/>
    <w:rsid w:val="00F42A4C"/>
    <w:rsid w:val="00F51F0F"/>
    <w:rsid w:val="00F604DE"/>
    <w:rsid w:val="00F632F9"/>
    <w:rsid w:val="00F6581D"/>
    <w:rsid w:val="00F67354"/>
    <w:rsid w:val="00F729E9"/>
    <w:rsid w:val="00F770BB"/>
    <w:rsid w:val="00F77F3B"/>
    <w:rsid w:val="00F80AAE"/>
    <w:rsid w:val="00F8231A"/>
    <w:rsid w:val="00F851C8"/>
    <w:rsid w:val="00F8763F"/>
    <w:rsid w:val="00F87718"/>
    <w:rsid w:val="00FA3AA0"/>
    <w:rsid w:val="00FA3C0E"/>
    <w:rsid w:val="00FA467A"/>
    <w:rsid w:val="00FA6ABA"/>
    <w:rsid w:val="00FB229A"/>
    <w:rsid w:val="00FB3C1B"/>
    <w:rsid w:val="00FB5527"/>
    <w:rsid w:val="00FB5C9F"/>
    <w:rsid w:val="00FB7512"/>
    <w:rsid w:val="00FC5F7B"/>
    <w:rsid w:val="00FD3EB1"/>
    <w:rsid w:val="00FD462C"/>
    <w:rsid w:val="00FD7547"/>
    <w:rsid w:val="00FE0900"/>
    <w:rsid w:val="00FE1DBA"/>
    <w:rsid w:val="00FE453A"/>
    <w:rsid w:val="00FF5F5C"/>
    <w:rsid w:val="00FF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A5682"/>
  <w15:docId w15:val="{1D84BAA6-75D8-41ED-B260-469C31F0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759E"/>
    <w:pPr>
      <w:keepNext/>
      <w:widowControl/>
      <w:spacing w:before="240" w:after="240"/>
      <w:ind w:left="851" w:hanging="851"/>
      <w:outlineLvl w:val="1"/>
    </w:pPr>
    <w:rPr>
      <w:rFonts w:ascii="Arial Bold" w:hAnsi="Arial Bold"/>
      <w:b/>
      <w:sz w:val="28"/>
      <w:lang w:eastAsia="en-AU" w:bidi="ar-SA"/>
    </w:rPr>
  </w:style>
  <w:style w:type="paragraph" w:styleId="Heading3">
    <w:name w:val="heading 3"/>
    <w:aliases w:val="FSHeading 3,Subheading 1"/>
    <w:basedOn w:val="Normal"/>
    <w:next w:val="Normal"/>
    <w:link w:val="Heading3Char"/>
    <w:autoRedefine/>
    <w:uiPriority w:val="9"/>
    <w:unhideWhenUsed/>
    <w:qFormat/>
    <w:rsid w:val="006B4015"/>
    <w:pPr>
      <w:keepNext/>
      <w:spacing w:before="240" w:after="240"/>
      <w:ind w:left="810"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759E"/>
    <w:rPr>
      <w:rFonts w:ascii="Arial Bold" w:hAnsi="Arial Bold"/>
      <w:b/>
      <w:sz w:val="28"/>
      <w:szCs w:val="24"/>
      <w:lang w:eastAsia="en-AU"/>
    </w:rPr>
  </w:style>
  <w:style w:type="character" w:customStyle="1" w:styleId="Heading3Char">
    <w:name w:val="Heading 3 Char"/>
    <w:aliases w:val="FSHeading 3 Char,Subheading 1 Char"/>
    <w:link w:val="Heading3"/>
    <w:uiPriority w:val="9"/>
    <w:rsid w:val="006B401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E755B9"/>
    <w:rPr>
      <w:b/>
      <w:bCs/>
    </w:rPr>
  </w:style>
  <w:style w:type="character" w:customStyle="1" w:styleId="CommentSubjectChar">
    <w:name w:val="Comment Subject Char"/>
    <w:basedOn w:val="CommentTextChar"/>
    <w:link w:val="CommentSubject"/>
    <w:semiHidden/>
    <w:rsid w:val="00E755B9"/>
    <w:rPr>
      <w:rFonts w:ascii="Arial" w:hAnsi="Arial"/>
      <w:b/>
      <w:bCs/>
      <w:lang w:eastAsia="en-US" w:bidi="en-US"/>
    </w:rPr>
  </w:style>
  <w:style w:type="paragraph" w:customStyle="1" w:styleId="FSBullet">
    <w:name w:val="FS Bullet"/>
    <w:basedOn w:val="Normal"/>
    <w:next w:val="Normal"/>
    <w:link w:val="FSBulletChar"/>
    <w:qFormat/>
    <w:rsid w:val="00441A23"/>
    <w:pPr>
      <w:ind w:left="567" w:hanging="567"/>
    </w:pPr>
    <w:rPr>
      <w:rFonts w:cs="Arial"/>
    </w:rPr>
  </w:style>
  <w:style w:type="character" w:customStyle="1" w:styleId="FSBulletChar">
    <w:name w:val="FS Bullet Char"/>
    <w:basedOn w:val="DefaultParagraphFont"/>
    <w:link w:val="FSBullet"/>
    <w:rsid w:val="00441A23"/>
    <w:rPr>
      <w:rFonts w:ascii="Arial" w:hAnsi="Arial" w:cs="Arial"/>
      <w:sz w:val="22"/>
      <w:szCs w:val="24"/>
      <w:lang w:eastAsia="en-US" w:bidi="en-US"/>
    </w:rPr>
  </w:style>
  <w:style w:type="paragraph" w:styleId="ListParagraph">
    <w:name w:val="List Paragraph"/>
    <w:basedOn w:val="Normal"/>
    <w:uiPriority w:val="34"/>
    <w:rsid w:val="006B4015"/>
    <w:pPr>
      <w:ind w:left="720"/>
      <w:contextualSpacing/>
    </w:pPr>
  </w:style>
  <w:style w:type="character" w:customStyle="1" w:styleId="FootnoteTextChar">
    <w:name w:val="Footnote Text Char"/>
    <w:aliases w:val="Footnotes Text Char,FSFootnotes Text Char"/>
    <w:basedOn w:val="DefaultParagraphFont"/>
    <w:link w:val="FootnoteText"/>
    <w:uiPriority w:val="5"/>
    <w:rsid w:val="006B4015"/>
    <w:rPr>
      <w:rFonts w:ascii="Arial" w:hAnsi="Arial"/>
      <w:lang w:eastAsia="en-US" w:bidi="en-US"/>
    </w:rPr>
  </w:style>
  <w:style w:type="paragraph" w:styleId="Caption">
    <w:name w:val="caption"/>
    <w:basedOn w:val="Normal"/>
    <w:next w:val="Normal"/>
    <w:unhideWhenUsed/>
    <w:rsid w:val="008D178E"/>
    <w:pPr>
      <w:spacing w:after="200"/>
    </w:pPr>
    <w:rPr>
      <w:i/>
      <w:iCs/>
      <w:color w:val="1F497D" w:themeColor="text2"/>
      <w:sz w:val="18"/>
      <w:szCs w:val="18"/>
    </w:rPr>
  </w:style>
  <w:style w:type="paragraph" w:styleId="Revision">
    <w:name w:val="Revision"/>
    <w:hidden/>
    <w:uiPriority w:val="99"/>
    <w:semiHidden/>
    <w:rsid w:val="00747CA6"/>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1.xml"/><Relationship Id="rId26" Type="http://schemas.openxmlformats.org/officeDocument/2006/relationships/hyperlink" Target="https://www.ncbi.nlm.nih.gov/pubmed/8068201" TargetMode="Externa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usp.org/food-ingredients/food-chemicals-co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3.xml"/><Relationship Id="rId29" Type="http://schemas.openxmlformats.org/officeDocument/2006/relationships/hyperlink" Target="http://apps.who.int/iris/bitstream/10665/204410/1/9789240695405_eng.pdf?ua=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32" Type="http://schemas.openxmlformats.org/officeDocument/2006/relationships/theme" Target="theme/theme1.xml"/><Relationship Id="rId28" Type="http://schemas.openxmlformats.org/officeDocument/2006/relationships/hyperlink" Target="https://www.ncbi.nlm.nih.gov/pmc/articles/PMC92152/" TargetMode="External"/><Relationship Id="rId15" Type="http://schemas.openxmlformats.org/officeDocument/2006/relationships/footer" Target="footer1.xml"/><Relationship Id="rId23" Type="http://schemas.openxmlformats.org/officeDocument/2006/relationships/hyperlink" Target="http://www.who.int/foodsafety/publications/biotech/en/ec_jan2001.pdf" TargetMode="External"/><Relationship Id="rId10" Type="http://schemas.openxmlformats.org/officeDocument/2006/relationships/settings" Target="settings.xml"/><Relationship Id="rId19" Type="http://schemas.openxmlformats.org/officeDocument/2006/relationships/chart" Target="charts/chart2.xml"/><Relationship Id="rId31" Type="http://schemas.openxmlformats.org/officeDocument/2006/relationships/fontTable" Target="fontTable.xml"/><Relationship Id="rId30" Type="http://schemas.openxmlformats.org/officeDocument/2006/relationships/hyperlink" Target="http://onlinelibrary.wiley.com/doi/10.1111/j.1750-3841.2012.03012.x/abstract"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allergen.nihs.go.jp/ADFS/" TargetMode="External"/><Relationship Id="rId27" Type="http://schemas.openxmlformats.org/officeDocument/2006/relationships/hyperlink" Target="http://www.chem.qmul.ac.uk/iubmb/enzyme/EC3/5/1/44.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NZ" baseline="0"/>
              <a:t>pH stability</a:t>
            </a:r>
            <a:endParaRPr lang="en-N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scatterChart>
        <c:scatterStyle val="lineMarker"/>
        <c:varyColors val="0"/>
        <c:ser>
          <c:idx val="0"/>
          <c:order val="0"/>
          <c:spPr>
            <a:ln w="28575" cap="rnd">
              <a:solidFill>
                <a:srgbClr val="0276B7"/>
              </a:solidFill>
              <a:round/>
            </a:ln>
            <a:effectLst/>
          </c:spPr>
          <c:marker>
            <c:symbol val="circle"/>
            <c:size val="5"/>
            <c:spPr>
              <a:solidFill>
                <a:srgbClr val="0276B7"/>
              </a:solidFill>
              <a:ln w="38100">
                <a:solidFill>
                  <a:srgbClr val="0276B7"/>
                </a:solidFill>
              </a:ln>
              <a:effectLst/>
            </c:spPr>
          </c:marker>
          <c:xVal>
            <c:numRef>
              <c:f>Sheet1!$D$86:$D$95</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Sheet1!$E$86:$E$95</c:f>
              <c:numCache>
                <c:formatCode>General</c:formatCode>
                <c:ptCount val="10"/>
                <c:pt idx="0">
                  <c:v>83</c:v>
                </c:pt>
                <c:pt idx="1">
                  <c:v>99</c:v>
                </c:pt>
                <c:pt idx="2">
                  <c:v>104</c:v>
                </c:pt>
                <c:pt idx="3">
                  <c:v>99</c:v>
                </c:pt>
                <c:pt idx="4">
                  <c:v>100</c:v>
                </c:pt>
                <c:pt idx="5">
                  <c:v>84</c:v>
                </c:pt>
                <c:pt idx="6">
                  <c:v>55</c:v>
                </c:pt>
                <c:pt idx="7">
                  <c:v>30</c:v>
                </c:pt>
                <c:pt idx="8">
                  <c:v>13</c:v>
                </c:pt>
              </c:numCache>
            </c:numRef>
          </c:yVal>
          <c:smooth val="0"/>
          <c:extLst>
            <c:ext xmlns:c16="http://schemas.microsoft.com/office/drawing/2014/chart" uri="{C3380CC4-5D6E-409C-BE32-E72D297353CC}">
              <c16:uniqueId val="{00000000-00E7-4233-9098-7311024F8B00}"/>
            </c:ext>
          </c:extLst>
        </c:ser>
        <c:dLbls>
          <c:showLegendKey val="0"/>
          <c:showVal val="0"/>
          <c:showCatName val="0"/>
          <c:showSerName val="0"/>
          <c:showPercent val="0"/>
          <c:showBubbleSize val="0"/>
        </c:dLbls>
        <c:axId val="249809920"/>
        <c:axId val="249697408"/>
      </c:scatterChart>
      <c:valAx>
        <c:axId val="249809920"/>
        <c:scaling>
          <c:orientation val="minMax"/>
          <c:max val="12"/>
          <c:min val="3"/>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a:t>pH</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49697408"/>
        <c:crosses val="autoZero"/>
        <c:crossBetween val="midCat"/>
        <c:majorUnit val="1"/>
      </c:valAx>
      <c:valAx>
        <c:axId val="2496974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a:t>Relative activity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49809920"/>
        <c:crossesAt val="3"/>
        <c:crossBetween val="midCat"/>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latin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latin typeface="Arial" panose="020B0604020202020204" pitchFamily="34" charset="0"/>
                <a:cs typeface="Arial" panose="020B0604020202020204" pitchFamily="34" charset="0"/>
              </a:rPr>
              <a:t>Thermal Stability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2"/>
          <c:order val="0"/>
          <c:spPr>
            <a:ln w="28575" cap="rnd">
              <a:solidFill>
                <a:srgbClr val="0276B7"/>
              </a:solidFill>
              <a:round/>
            </a:ln>
            <a:effectLst/>
          </c:spPr>
          <c:marker>
            <c:symbol val="circle"/>
            <c:size val="5"/>
            <c:spPr>
              <a:solidFill>
                <a:srgbClr val="0276B7"/>
              </a:solidFill>
              <a:ln w="38100">
                <a:solidFill>
                  <a:srgbClr val="0276B7"/>
                </a:solidFill>
              </a:ln>
              <a:effectLst/>
            </c:spPr>
          </c:marker>
          <c:cat>
            <c:numRef>
              <c:f>Sheet1!$D$100:$D$105</c:f>
              <c:numCache>
                <c:formatCode>General</c:formatCode>
                <c:ptCount val="6"/>
                <c:pt idx="0">
                  <c:v>20</c:v>
                </c:pt>
                <c:pt idx="1">
                  <c:v>30</c:v>
                </c:pt>
                <c:pt idx="2">
                  <c:v>40</c:v>
                </c:pt>
                <c:pt idx="3">
                  <c:v>50</c:v>
                </c:pt>
                <c:pt idx="4">
                  <c:v>60</c:v>
                </c:pt>
                <c:pt idx="5">
                  <c:v>70</c:v>
                </c:pt>
              </c:numCache>
            </c:numRef>
          </c:cat>
          <c:val>
            <c:numRef>
              <c:f>Sheet1!$E$100:$E$105</c:f>
              <c:numCache>
                <c:formatCode>General</c:formatCode>
                <c:ptCount val="6"/>
                <c:pt idx="0">
                  <c:v>40</c:v>
                </c:pt>
                <c:pt idx="1">
                  <c:v>54</c:v>
                </c:pt>
                <c:pt idx="2">
                  <c:v>76</c:v>
                </c:pt>
                <c:pt idx="3">
                  <c:v>99</c:v>
                </c:pt>
                <c:pt idx="4">
                  <c:v>102</c:v>
                </c:pt>
                <c:pt idx="5">
                  <c:v>61</c:v>
                </c:pt>
              </c:numCache>
            </c:numRef>
          </c:val>
          <c:smooth val="0"/>
          <c:extLst>
            <c:ext xmlns:c16="http://schemas.microsoft.com/office/drawing/2014/chart" uri="{C3380CC4-5D6E-409C-BE32-E72D297353CC}">
              <c16:uniqueId val="{00000000-8618-476A-80B8-8569E890BBF6}"/>
            </c:ext>
          </c:extLst>
        </c:ser>
        <c:dLbls>
          <c:showLegendKey val="0"/>
          <c:showVal val="0"/>
          <c:showCatName val="0"/>
          <c:showSerName val="0"/>
          <c:showPercent val="0"/>
          <c:showBubbleSize val="0"/>
        </c:dLbls>
        <c:marker val="1"/>
        <c:smooth val="0"/>
        <c:axId val="249707904"/>
        <c:axId val="37524608"/>
      </c:lineChart>
      <c:dateAx>
        <c:axId val="249707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latin typeface="Arial" panose="020B0604020202020204" pitchFamily="34" charset="0"/>
                  </a:rPr>
                  <a:t>Temperature (°C</a:t>
                </a:r>
                <a:r>
                  <a:rPr lang="en-NZ">
                    <a:latin typeface="Calibri" panose="020F0502020204030204" pitchFamily="34" charset="0"/>
                  </a:rPr>
                  <a:t>)</a:t>
                </a:r>
                <a:endParaRPr lang="en-NZ"/>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7524608"/>
        <c:crosses val="autoZero"/>
        <c:auto val="0"/>
        <c:lblOffset val="100"/>
        <c:baseTimeUnit val="days"/>
        <c:majorUnit val="10"/>
        <c:majorTimeUnit val="days"/>
        <c:minorUnit val="5"/>
        <c:minorTimeUnit val="days"/>
      </c:dateAx>
      <c:valAx>
        <c:axId val="37524608"/>
        <c:scaling>
          <c:orientation val="minMax"/>
          <c:max val="11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baseline="0">
                    <a:latin typeface="Arial" panose="020B0604020202020204" pitchFamily="34" charset="0"/>
                  </a:rPr>
                  <a:t>Residual activity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4970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latin typeface="Arial" panose="020B0604020202020204" pitchFamily="34" charset="0"/>
                <a:cs typeface="Arial" panose="020B0604020202020204" pitchFamily="34" charset="0"/>
              </a:rPr>
              <a:t>Thermal Stability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60 min</c:v>
          </c:tx>
          <c:spPr>
            <a:ln w="28575" cap="rnd">
              <a:solidFill>
                <a:srgbClr val="0276B7"/>
              </a:solidFill>
              <a:round/>
            </a:ln>
            <a:effectLst/>
          </c:spPr>
          <c:marker>
            <c:symbol val="circle"/>
            <c:size val="5"/>
            <c:spPr>
              <a:solidFill>
                <a:schemeClr val="accent1"/>
              </a:solidFill>
              <a:ln w="38100">
                <a:solidFill>
                  <a:srgbClr val="0276B7"/>
                </a:solidFill>
              </a:ln>
              <a:effectLst/>
            </c:spPr>
          </c:marker>
          <c:cat>
            <c:numRef>
              <c:f>Sheet1!$B$73:$B$80</c:f>
              <c:numCache>
                <c:formatCode>General</c:formatCode>
                <c:ptCount val="8"/>
                <c:pt idx="0">
                  <c:v>20</c:v>
                </c:pt>
                <c:pt idx="1">
                  <c:v>30</c:v>
                </c:pt>
                <c:pt idx="2">
                  <c:v>40</c:v>
                </c:pt>
                <c:pt idx="3">
                  <c:v>50</c:v>
                </c:pt>
                <c:pt idx="4">
                  <c:v>60</c:v>
                </c:pt>
                <c:pt idx="5">
                  <c:v>65</c:v>
                </c:pt>
                <c:pt idx="6">
                  <c:v>70</c:v>
                </c:pt>
                <c:pt idx="7">
                  <c:v>80</c:v>
                </c:pt>
              </c:numCache>
            </c:numRef>
          </c:cat>
          <c:val>
            <c:numRef>
              <c:f>Sheet1!$C$73:$C$80</c:f>
              <c:numCache>
                <c:formatCode>General</c:formatCode>
                <c:ptCount val="8"/>
                <c:pt idx="0">
                  <c:v>100</c:v>
                </c:pt>
                <c:pt idx="1">
                  <c:v>100</c:v>
                </c:pt>
                <c:pt idx="2">
                  <c:v>99</c:v>
                </c:pt>
                <c:pt idx="3">
                  <c:v>97</c:v>
                </c:pt>
                <c:pt idx="4">
                  <c:v>9</c:v>
                </c:pt>
                <c:pt idx="5">
                  <c:v>4</c:v>
                </c:pt>
                <c:pt idx="6">
                  <c:v>0</c:v>
                </c:pt>
                <c:pt idx="7">
                  <c:v>0</c:v>
                </c:pt>
              </c:numCache>
            </c:numRef>
          </c:val>
          <c:smooth val="0"/>
          <c:extLst>
            <c:ext xmlns:c16="http://schemas.microsoft.com/office/drawing/2014/chart" uri="{C3380CC4-5D6E-409C-BE32-E72D297353CC}">
              <c16:uniqueId val="{00000000-C207-4EBD-A376-4E6197D80434}"/>
            </c:ext>
          </c:extLst>
        </c:ser>
        <c:ser>
          <c:idx val="1"/>
          <c:order val="1"/>
          <c:tx>
            <c:v>10 min</c:v>
          </c:tx>
          <c:spPr>
            <a:ln w="28575" cap="rnd">
              <a:solidFill>
                <a:srgbClr val="559514"/>
              </a:solidFill>
              <a:round/>
            </a:ln>
            <a:effectLst/>
          </c:spPr>
          <c:marker>
            <c:symbol val="star"/>
            <c:size val="5"/>
            <c:spPr>
              <a:solidFill>
                <a:srgbClr val="559514"/>
              </a:solidFill>
              <a:ln w="38100" cap="sq">
                <a:solidFill>
                  <a:srgbClr val="559514"/>
                </a:solidFill>
                <a:bevel/>
              </a:ln>
              <a:effectLst/>
            </c:spPr>
          </c:marker>
          <c:cat>
            <c:numRef>
              <c:f>Sheet1!$B$73:$B$80</c:f>
              <c:numCache>
                <c:formatCode>General</c:formatCode>
                <c:ptCount val="8"/>
                <c:pt idx="0">
                  <c:v>20</c:v>
                </c:pt>
                <c:pt idx="1">
                  <c:v>30</c:v>
                </c:pt>
                <c:pt idx="2">
                  <c:v>40</c:v>
                </c:pt>
                <c:pt idx="3">
                  <c:v>50</c:v>
                </c:pt>
                <c:pt idx="4">
                  <c:v>60</c:v>
                </c:pt>
                <c:pt idx="5">
                  <c:v>65</c:v>
                </c:pt>
                <c:pt idx="6">
                  <c:v>70</c:v>
                </c:pt>
                <c:pt idx="7">
                  <c:v>80</c:v>
                </c:pt>
              </c:numCache>
            </c:numRef>
          </c:cat>
          <c:val>
            <c:numRef>
              <c:f>Sheet1!$D$73:$D$80</c:f>
              <c:numCache>
                <c:formatCode>General</c:formatCode>
                <c:ptCount val="8"/>
                <c:pt idx="0">
                  <c:v>100</c:v>
                </c:pt>
                <c:pt idx="1">
                  <c:v>100</c:v>
                </c:pt>
                <c:pt idx="2">
                  <c:v>99</c:v>
                </c:pt>
                <c:pt idx="3">
                  <c:v>97</c:v>
                </c:pt>
                <c:pt idx="4">
                  <c:v>95</c:v>
                </c:pt>
                <c:pt idx="5">
                  <c:v>81</c:v>
                </c:pt>
                <c:pt idx="6">
                  <c:v>6</c:v>
                </c:pt>
                <c:pt idx="7">
                  <c:v>0</c:v>
                </c:pt>
              </c:numCache>
            </c:numRef>
          </c:val>
          <c:smooth val="0"/>
          <c:extLst>
            <c:ext xmlns:c16="http://schemas.microsoft.com/office/drawing/2014/chart" uri="{C3380CC4-5D6E-409C-BE32-E72D297353CC}">
              <c16:uniqueId val="{00000001-C207-4EBD-A376-4E6197D80434}"/>
            </c:ext>
          </c:extLst>
        </c:ser>
        <c:dLbls>
          <c:showLegendKey val="0"/>
          <c:showVal val="0"/>
          <c:showCatName val="0"/>
          <c:showSerName val="0"/>
          <c:showPercent val="0"/>
          <c:showBubbleSize val="0"/>
        </c:dLbls>
        <c:marker val="1"/>
        <c:smooth val="0"/>
        <c:axId val="37667200"/>
        <c:axId val="37669120"/>
      </c:lineChart>
      <c:dateAx>
        <c:axId val="3766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latin typeface="Arial" panose="020B0604020202020204" pitchFamily="34" charset="0"/>
                  </a:rPr>
                  <a:t>Temperature (</a:t>
                </a:r>
                <a:r>
                  <a:rPr lang="en-NZ" baseline="0">
                    <a:latin typeface="Arial" panose="020B0604020202020204" pitchFamily="34" charset="0"/>
                    <a:cs typeface="Arial" panose="020B0604020202020204" pitchFamily="34" charset="0"/>
                  </a:rPr>
                  <a:t>°</a:t>
                </a:r>
                <a:r>
                  <a:rPr lang="en-NZ" baseline="0">
                    <a:latin typeface="Arial" panose="020B0604020202020204" pitchFamily="34" charset="0"/>
                  </a:rPr>
                  <a:t>C</a:t>
                </a:r>
                <a:r>
                  <a:rPr lang="en-NZ">
                    <a:latin typeface="Calibri" panose="020F0502020204030204" pitchFamily="34" charset="0"/>
                  </a:rPr>
                  <a:t>)</a:t>
                </a:r>
                <a:endParaRPr lang="en-NZ"/>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7669120"/>
        <c:crosses val="autoZero"/>
        <c:auto val="0"/>
        <c:lblOffset val="100"/>
        <c:baseTimeUnit val="days"/>
        <c:majorUnit val="10"/>
        <c:majorTimeUnit val="days"/>
        <c:minorUnit val="5"/>
        <c:minorTimeUnit val="days"/>
      </c:dateAx>
      <c:valAx>
        <c:axId val="37669120"/>
        <c:scaling>
          <c:orientation val="minMax"/>
          <c:max val="11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baseline="0">
                    <a:latin typeface="Arial" panose="020B0604020202020204" pitchFamily="34" charset="0"/>
                  </a:rPr>
                  <a:t>Residual activity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7667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latin typeface="Arial" panose="020B0604020202020204" pitchFamily="34" charset="0"/>
                <a:cs typeface="Arial" panose="020B0604020202020204" pitchFamily="34" charset="0"/>
              </a:rPr>
              <a:t>Deamidation activity of</a:t>
            </a:r>
            <a:r>
              <a:rPr lang="en-NZ" baseline="0">
                <a:latin typeface="Arial" panose="020B0604020202020204" pitchFamily="34" charset="0"/>
                <a:cs typeface="Arial" panose="020B0604020202020204" pitchFamily="34" charset="0"/>
              </a:rPr>
              <a:t> protein glutaminase over time</a:t>
            </a:r>
            <a:endParaRPr lang="en-NZ">
              <a:latin typeface="Arial" panose="020B0604020202020204" pitchFamily="34" charset="0"/>
              <a:cs typeface="Arial" panose="020B0604020202020204" pitchFamily="34" charset="0"/>
            </a:endParaRPr>
          </a:p>
        </c:rich>
      </c:tx>
      <c:layout>
        <c:manualLayout>
          <c:xMode val="edge"/>
          <c:yMode val="edge"/>
          <c:x val="0.15030862321923097"/>
          <c:y val="2.20385674931129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 C</c:v>
          </c:tx>
          <c:spPr>
            <a:ln w="28575" cap="rnd">
              <a:solidFill>
                <a:srgbClr val="0276B7"/>
              </a:solidFill>
              <a:round/>
            </a:ln>
            <a:effectLst/>
          </c:spPr>
          <c:marker>
            <c:symbol val="square"/>
            <c:size val="5"/>
            <c:spPr>
              <a:solidFill>
                <a:schemeClr val="accent1"/>
              </a:solidFill>
              <a:ln w="38100">
                <a:solidFill>
                  <a:schemeClr val="accent1"/>
                </a:solidFill>
              </a:ln>
              <a:effectLst/>
            </c:spPr>
          </c:marker>
          <c:cat>
            <c:numRef>
              <c:f>Sheet1!$E$22:$E$26</c:f>
              <c:numCache>
                <c:formatCode>General</c:formatCode>
                <c:ptCount val="5"/>
                <c:pt idx="0">
                  <c:v>0</c:v>
                </c:pt>
                <c:pt idx="1">
                  <c:v>3</c:v>
                </c:pt>
                <c:pt idx="2">
                  <c:v>6</c:v>
                </c:pt>
                <c:pt idx="3">
                  <c:v>9</c:v>
                </c:pt>
                <c:pt idx="4">
                  <c:v>12</c:v>
                </c:pt>
              </c:numCache>
            </c:numRef>
          </c:cat>
          <c:val>
            <c:numRef>
              <c:f>Sheet1!$F$22:$F$26</c:f>
              <c:numCache>
                <c:formatCode>General</c:formatCode>
                <c:ptCount val="5"/>
                <c:pt idx="0">
                  <c:v>100</c:v>
                </c:pt>
                <c:pt idx="1">
                  <c:v>96</c:v>
                </c:pt>
                <c:pt idx="2">
                  <c:v>102</c:v>
                </c:pt>
                <c:pt idx="3">
                  <c:v>100</c:v>
                </c:pt>
                <c:pt idx="4">
                  <c:v>101</c:v>
                </c:pt>
              </c:numCache>
            </c:numRef>
          </c:val>
          <c:smooth val="0"/>
          <c:extLst>
            <c:ext xmlns:c16="http://schemas.microsoft.com/office/drawing/2014/chart" uri="{C3380CC4-5D6E-409C-BE32-E72D297353CC}">
              <c16:uniqueId val="{00000000-EDD4-4BDC-AEFA-FDEBEC70EA36}"/>
            </c:ext>
          </c:extLst>
        </c:ser>
        <c:ser>
          <c:idx val="1"/>
          <c:order val="1"/>
          <c:tx>
            <c:v>4 C</c:v>
          </c:tx>
          <c:spPr>
            <a:ln w="28575" cap="rnd">
              <a:solidFill>
                <a:srgbClr val="559514"/>
              </a:solidFill>
              <a:round/>
            </a:ln>
            <a:effectLst/>
          </c:spPr>
          <c:marker>
            <c:symbol val="diamond"/>
            <c:size val="5"/>
            <c:spPr>
              <a:solidFill>
                <a:srgbClr val="559514"/>
              </a:solidFill>
              <a:ln w="38100">
                <a:solidFill>
                  <a:srgbClr val="559514"/>
                </a:solidFill>
              </a:ln>
              <a:effectLst/>
            </c:spPr>
          </c:marker>
          <c:cat>
            <c:numRef>
              <c:f>Sheet1!$E$22:$E$26</c:f>
              <c:numCache>
                <c:formatCode>General</c:formatCode>
                <c:ptCount val="5"/>
                <c:pt idx="0">
                  <c:v>0</c:v>
                </c:pt>
                <c:pt idx="1">
                  <c:v>3</c:v>
                </c:pt>
                <c:pt idx="2">
                  <c:v>6</c:v>
                </c:pt>
                <c:pt idx="3">
                  <c:v>9</c:v>
                </c:pt>
                <c:pt idx="4">
                  <c:v>12</c:v>
                </c:pt>
              </c:numCache>
            </c:numRef>
          </c:cat>
          <c:val>
            <c:numRef>
              <c:f>Sheet1!$G$22:$G$26</c:f>
              <c:numCache>
                <c:formatCode>General</c:formatCode>
                <c:ptCount val="5"/>
                <c:pt idx="0">
                  <c:v>100</c:v>
                </c:pt>
                <c:pt idx="1">
                  <c:v>92</c:v>
                </c:pt>
                <c:pt idx="2">
                  <c:v>93</c:v>
                </c:pt>
                <c:pt idx="3">
                  <c:v>91</c:v>
                </c:pt>
                <c:pt idx="4">
                  <c:v>89</c:v>
                </c:pt>
              </c:numCache>
            </c:numRef>
          </c:val>
          <c:smooth val="0"/>
          <c:extLst>
            <c:ext xmlns:c16="http://schemas.microsoft.com/office/drawing/2014/chart" uri="{C3380CC4-5D6E-409C-BE32-E72D297353CC}">
              <c16:uniqueId val="{00000001-EDD4-4BDC-AEFA-FDEBEC70EA36}"/>
            </c:ext>
          </c:extLst>
        </c:ser>
        <c:ser>
          <c:idx val="2"/>
          <c:order val="2"/>
          <c:tx>
            <c:v>25 C</c:v>
          </c:tx>
          <c:spPr>
            <a:ln w="28575" cap="rnd">
              <a:solidFill>
                <a:srgbClr val="AFAD0A"/>
              </a:solidFill>
              <a:round/>
            </a:ln>
            <a:effectLst/>
          </c:spPr>
          <c:marker>
            <c:symbol val="triangle"/>
            <c:size val="5"/>
            <c:spPr>
              <a:solidFill>
                <a:srgbClr val="AFAD0A"/>
              </a:solidFill>
              <a:ln w="38100">
                <a:solidFill>
                  <a:schemeClr val="accent3"/>
                </a:solidFill>
              </a:ln>
              <a:effectLst/>
            </c:spPr>
          </c:marker>
          <c:cat>
            <c:numRef>
              <c:f>Sheet1!$E$22:$E$26</c:f>
              <c:numCache>
                <c:formatCode>General</c:formatCode>
                <c:ptCount val="5"/>
                <c:pt idx="0">
                  <c:v>0</c:v>
                </c:pt>
                <c:pt idx="1">
                  <c:v>3</c:v>
                </c:pt>
                <c:pt idx="2">
                  <c:v>6</c:v>
                </c:pt>
                <c:pt idx="3">
                  <c:v>9</c:v>
                </c:pt>
                <c:pt idx="4">
                  <c:v>12</c:v>
                </c:pt>
              </c:numCache>
            </c:numRef>
          </c:cat>
          <c:val>
            <c:numRef>
              <c:f>Sheet1!$H$22:$H$26</c:f>
              <c:numCache>
                <c:formatCode>General</c:formatCode>
                <c:ptCount val="5"/>
                <c:pt idx="0">
                  <c:v>100</c:v>
                </c:pt>
                <c:pt idx="1">
                  <c:v>81</c:v>
                </c:pt>
                <c:pt idx="2">
                  <c:v>79</c:v>
                </c:pt>
                <c:pt idx="3">
                  <c:v>70</c:v>
                </c:pt>
                <c:pt idx="4">
                  <c:v>69</c:v>
                </c:pt>
              </c:numCache>
            </c:numRef>
          </c:val>
          <c:smooth val="0"/>
          <c:extLst>
            <c:ext xmlns:c16="http://schemas.microsoft.com/office/drawing/2014/chart" uri="{C3380CC4-5D6E-409C-BE32-E72D297353CC}">
              <c16:uniqueId val="{00000002-EDD4-4BDC-AEFA-FDEBEC70EA36}"/>
            </c:ext>
          </c:extLst>
        </c:ser>
        <c:dLbls>
          <c:showLegendKey val="0"/>
          <c:showVal val="0"/>
          <c:showCatName val="0"/>
          <c:showSerName val="0"/>
          <c:showPercent val="0"/>
          <c:showBubbleSize val="0"/>
        </c:dLbls>
        <c:marker val="1"/>
        <c:smooth val="0"/>
        <c:axId val="38245504"/>
        <c:axId val="38247808"/>
      </c:lineChart>
      <c:catAx>
        <c:axId val="38245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sz="1000" baseline="0">
                    <a:latin typeface="Arial" panose="020B0604020202020204" pitchFamily="34" charset="0"/>
                  </a:rPr>
                  <a:t>months</a:t>
                </a:r>
              </a:p>
            </c:rich>
          </c:tx>
          <c:layout>
            <c:manualLayout>
              <c:xMode val="edge"/>
              <c:yMode val="edge"/>
              <c:x val="0.47128823600305714"/>
              <c:y val="0.913458578019659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7808"/>
        <c:crosses val="autoZero"/>
        <c:auto val="0"/>
        <c:lblAlgn val="ctr"/>
        <c:lblOffset val="100"/>
        <c:noMultiLvlLbl val="0"/>
      </c:catAx>
      <c:valAx>
        <c:axId val="3824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NZ" sz="1000" baseline="0">
                    <a:latin typeface="Arial" panose="020B0604020202020204" pitchFamily="34" charset="0"/>
                  </a:rPr>
                  <a:t>Remaining  relative activity (%)</a:t>
                </a:r>
              </a:p>
            </c:rich>
          </c:tx>
          <c:layout>
            <c:manualLayout>
              <c:xMode val="edge"/>
              <c:yMode val="edge"/>
              <c:x val="1.7343863883478899E-2"/>
              <c:y val="0.25449439642666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8245504"/>
        <c:crossesAt val="0"/>
        <c:crossBetween val="midCat"/>
        <c:majorUnit val="10"/>
      </c:valAx>
      <c:spPr>
        <a:noFill/>
        <a:ln>
          <a:noFill/>
        </a:ln>
        <a:effectLst/>
      </c:spPr>
    </c:plotArea>
    <c:legend>
      <c:legendPos val="b"/>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Entry>
      <c:layout>
        <c:manualLayout>
          <c:xMode val="edge"/>
          <c:yMode val="edge"/>
          <c:x val="0.30854717030271989"/>
          <c:y val="0.83109896386918591"/>
          <c:w val="0.3419465400342046"/>
          <c:h val="7.317816677873943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X3VAMR3A5FUY-552-6711</_dlc_DocId>
    <_dlc_DocIdUrl xmlns="ff5de93e-c5e8-4efc-a1bd-21450292fcfe">
      <Url>http://teams/Sections/RAP/_layouts/15/DocIdRedir.aspx?ID=X3VAMR3A5FUY-552-6711</Url>
      <Description>X3VAMR3A5FUY-552-6711</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D2B84-0C19-4824-80C6-6FEEB7D8E82D}"/>
</file>

<file path=customXml/itemProps2.xml><?xml version="1.0" encoding="utf-8"?>
<ds:datastoreItem xmlns:ds="http://schemas.openxmlformats.org/officeDocument/2006/customXml" ds:itemID="{690C2A7D-B736-4C3D-AEA4-8FB128EFB402}"/>
</file>

<file path=customXml/itemProps3.xml><?xml version="1.0" encoding="utf-8"?>
<ds:datastoreItem xmlns:ds="http://schemas.openxmlformats.org/officeDocument/2006/customXml" ds:itemID="{06ADAC57-CEA6-4AC8-AEEB-66D9AF1646C3}"/>
</file>

<file path=customXml/itemProps4.xml><?xml version="1.0" encoding="utf-8"?>
<ds:datastoreItem xmlns:ds="http://schemas.openxmlformats.org/officeDocument/2006/customXml" ds:itemID="{BFB7D5A1-B774-48F9-87B9-062213DF7249}">
  <ds:schemaRefs>
    <ds:schemaRef ds:uri="Microsoft.SharePoint.Taxonomy.ContentTypeSync"/>
  </ds:schemaRefs>
</ds:datastoreItem>
</file>

<file path=customXml/itemProps5.xml><?xml version="1.0" encoding="utf-8"?>
<ds:datastoreItem xmlns:ds="http://schemas.openxmlformats.org/officeDocument/2006/customXml" ds:itemID="{DB4D2B84-0C19-4824-80C6-6FEEB7D8E82D}">
  <ds:schemaRefs>
    <ds:schemaRef ds:uri="http://schemas.openxmlformats.org/package/2006/metadata/core-properties"/>
    <ds:schemaRef ds:uri="http://schemas.microsoft.com/office/2006/metadata/properties"/>
    <ds:schemaRef ds:uri="ec50576e-4a27-4780-a1e1-e59563bc70b8"/>
    <ds:schemaRef ds:uri="ff5de93e-c5e8-4efc-a1bd-21450292fcfe"/>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60A86D57-2577-444F-93AB-CB2BF2BD2C5E}"/>
</file>

<file path=customXml/itemProps7.xml><?xml version="1.0" encoding="utf-8"?>
<ds:datastoreItem xmlns:ds="http://schemas.openxmlformats.org/officeDocument/2006/customXml" ds:itemID="{B986F564-814D-492B-AB1E-544E2176904E}"/>
</file>

<file path=docProps/app.xml><?xml version="1.0" encoding="utf-8"?>
<Properties xmlns="http://schemas.openxmlformats.org/officeDocument/2006/extended-properties" xmlns:vt="http://schemas.openxmlformats.org/officeDocument/2006/docPropsVTypes">
  <Template>Normal</Template>
  <TotalTime>3</TotalTime>
  <Pages>17</Pages>
  <Words>6363</Words>
  <Characters>36271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42549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keywords/>
  <cp:lastModifiedBy>Christine Coughlan</cp:lastModifiedBy>
  <cp:revision>3</cp:revision>
  <cp:lastPrinted>2018-02-21T22:37:00Z</cp:lastPrinted>
  <dcterms:created xsi:type="dcterms:W3CDTF">2018-02-21T22:34:00Z</dcterms:created>
  <dcterms:modified xsi:type="dcterms:W3CDTF">2018-02-21T22:38:00Z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5f347d00-cc50-4f6e-b087-588c63f9c64e</vt:lpwstr>
  </property>
  <property fmtid="{D5CDD505-2E9C-101B-9397-08002B2CF9AE}" pid="6" name="TitusGUID">
    <vt:lpwstr>a643a74d-4703-451d-a32d-a006493546ea</vt:lpwstr>
  </property>
  <property fmtid="{D5CDD505-2E9C-101B-9397-08002B2CF9AE}" pid="7" name="SPPCopyMoveEvent">
    <vt:lpwstr>0</vt:lpwstr>
  </property>
  <property fmtid="{D5CDD505-2E9C-101B-9397-08002B2CF9AE}" pid="8" name="docIndexRef">
    <vt:lpwstr>6c9a98ae-3e67-476f-82bd-43da3ea61df3</vt:lpwstr>
  </property>
  <property fmtid="{D5CDD505-2E9C-101B-9397-08002B2CF9AE}" pid="9" name="bjSaver">
    <vt:lpwstr>NSFRDT7Tn/FO0AUR+MQuRqLcq8my1dRo</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